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068" w:rsidRPr="00904E9E" w:rsidRDefault="00290068"/>
    <w:tbl>
      <w:tblPr>
        <w:tblpPr w:leftFromText="187" w:rightFromText="187" w:vertAnchor="page" w:horzAnchor="margin" w:tblpY="5851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0A0" w:firstRow="1" w:lastRow="0" w:firstColumn="1" w:lastColumn="0" w:noHBand="0" w:noVBand="0"/>
      </w:tblPr>
      <w:tblGrid>
        <w:gridCol w:w="5193"/>
        <w:gridCol w:w="3897"/>
      </w:tblGrid>
      <w:tr w:rsidR="00557C2A" w:rsidRPr="003528A0" w:rsidTr="00290068">
        <w:tc>
          <w:tcPr>
            <w:tcW w:w="5333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:rsidR="00557C2A" w:rsidRPr="00BA4429" w:rsidRDefault="00BA4429" w:rsidP="00BA4429">
            <w:pPr>
              <w:pStyle w:val="NoSpacing"/>
              <w:ind w:left="851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MANUAL</w:t>
            </w:r>
          </w:p>
          <w:p w:rsidR="00557C2A" w:rsidRPr="00BA4429" w:rsidRDefault="00557C2A" w:rsidP="00BA4429">
            <w:pPr>
              <w:pStyle w:val="NoSpacing"/>
              <w:ind w:left="851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  <w:p w:rsidR="00557C2A" w:rsidRPr="00BA4429" w:rsidRDefault="00BA4429" w:rsidP="00BA4429">
            <w:pPr>
              <w:pStyle w:val="Title"/>
              <w:pBdr>
                <w:bottom w:val="single" w:sz="4" w:space="1" w:color="auto"/>
              </w:pBdr>
              <w:ind w:left="2160" w:hanging="1325"/>
              <w:rPr>
                <w:rStyle w:val="MessageHeaderLabel"/>
                <w:rFonts w:ascii="Calibri" w:hAnsi="Calibri" w:cs="Calibri"/>
                <w:sz w:val="30"/>
                <w:szCs w:val="30"/>
                <w:lang w:val="en-US"/>
              </w:rPr>
            </w:pPr>
            <w:r>
              <w:rPr>
                <w:rStyle w:val="MessageHeaderLabel"/>
                <w:rFonts w:ascii="Calibri" w:hAnsi="Calibri" w:cs="Calibri"/>
                <w:sz w:val="30"/>
                <w:szCs w:val="30"/>
                <w:lang w:val="en-US"/>
              </w:rPr>
              <w:t xml:space="preserve">PAYMENT OF DIVIDEND </w:t>
            </w:r>
          </w:p>
          <w:p w:rsidR="00557C2A" w:rsidRPr="00BA4429" w:rsidRDefault="00557C2A" w:rsidP="00982F70">
            <w:pPr>
              <w:pStyle w:val="Title"/>
              <w:pBdr>
                <w:bottom w:val="single" w:sz="4" w:space="1" w:color="auto"/>
              </w:pBdr>
              <w:ind w:left="2160" w:hanging="1325"/>
              <w:rPr>
                <w:rStyle w:val="MessageHeaderLabel"/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557C2A" w:rsidRPr="00BA4429" w:rsidRDefault="00557C2A" w:rsidP="00982F70">
            <w:pPr>
              <w:pStyle w:val="NoSpacing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557C2A" w:rsidRPr="00BA4429" w:rsidRDefault="00557C2A" w:rsidP="00982F70">
            <w:pPr>
              <w:pStyle w:val="NoSpacing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557C2A" w:rsidRPr="00BA4429" w:rsidRDefault="00557C2A" w:rsidP="00982F70">
            <w:pPr>
              <w:pStyle w:val="NoSpacing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557C2A" w:rsidRPr="00BA4429" w:rsidRDefault="00557C2A" w:rsidP="00982F70">
            <w:pPr>
              <w:pStyle w:val="NoSpacing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557C2A" w:rsidRPr="00BA4429" w:rsidRDefault="00557C2A" w:rsidP="00982F70">
            <w:pPr>
              <w:pStyle w:val="NoSpacing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:rsidR="00557C2A" w:rsidRPr="00C75B35" w:rsidRDefault="00C75B35" w:rsidP="00C75B35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</w:tbl>
    <w:tbl>
      <w:tblPr>
        <w:tblpPr w:leftFromText="180" w:rightFromText="180" w:horzAnchor="margin" w:tblpXSpec="center" w:tblpY="345"/>
        <w:tblW w:w="9648" w:type="dxa"/>
        <w:tblLook w:val="01E0" w:firstRow="1" w:lastRow="1" w:firstColumn="1" w:lastColumn="1" w:noHBand="0" w:noVBand="0"/>
      </w:tblPr>
      <w:tblGrid>
        <w:gridCol w:w="3671"/>
        <w:gridCol w:w="327"/>
        <w:gridCol w:w="1314"/>
        <w:gridCol w:w="4336"/>
      </w:tblGrid>
      <w:tr w:rsidR="00557C2A" w:rsidRPr="003528A0" w:rsidTr="00982F70">
        <w:tc>
          <w:tcPr>
            <w:tcW w:w="4158" w:type="dxa"/>
          </w:tcPr>
          <w:p w:rsidR="00ED3B57" w:rsidRDefault="000B37F1" w:rsidP="00C75B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GB" w:eastAsia="en-GB"/>
              </w:rPr>
              <w:drawing>
                <wp:inline distT="0" distB="0" distL="0" distR="0" wp14:anchorId="2EF09308" wp14:editId="5E456176">
                  <wp:extent cx="612140" cy="626110"/>
                  <wp:effectExtent l="19050" t="0" r="0" b="0"/>
                  <wp:docPr id="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C2A" w:rsidRPr="00C75B35" w:rsidRDefault="00557C2A" w:rsidP="00C75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8" w:type="dxa"/>
          </w:tcPr>
          <w:p w:rsidR="00557C2A" w:rsidRPr="003528A0" w:rsidRDefault="00557C2A" w:rsidP="00982F70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557C2A" w:rsidRPr="003528A0" w:rsidRDefault="00557C2A" w:rsidP="00982F70">
            <w:pPr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D3B57" w:rsidRDefault="005321C5" w:rsidP="00ED3B57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E52DE73" wp14:editId="6E0F51BC">
                  <wp:extent cx="2616200" cy="763270"/>
                  <wp:effectExtent l="0" t="0" r="0" b="0"/>
                  <wp:docPr id="2" name="Picture 1" descr="Department of Insolv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artment of Insolv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C2A" w:rsidRPr="00ED3B57" w:rsidRDefault="00557C2A" w:rsidP="00ED3B57">
            <w:pPr>
              <w:jc w:val="center"/>
              <w:rPr>
                <w:rFonts w:ascii="Calibri" w:hAnsi="Calibri" w:cs="Calibri"/>
              </w:rPr>
            </w:pPr>
          </w:p>
        </w:tc>
      </w:tr>
      <w:tr w:rsidR="00ED3B57" w:rsidRPr="00221EA5" w:rsidTr="00982F70">
        <w:tc>
          <w:tcPr>
            <w:tcW w:w="4158" w:type="dxa"/>
          </w:tcPr>
          <w:p w:rsidR="00ED3B57" w:rsidRPr="00BA4429" w:rsidRDefault="00BA4429" w:rsidP="00C75B3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REPUBLIC OF CYPRUS</w:t>
            </w:r>
          </w:p>
        </w:tc>
        <w:tc>
          <w:tcPr>
            <w:tcW w:w="348" w:type="dxa"/>
          </w:tcPr>
          <w:p w:rsidR="00ED3B57" w:rsidRPr="003528A0" w:rsidRDefault="00ED3B57" w:rsidP="00982F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0" w:type="dxa"/>
          </w:tcPr>
          <w:p w:rsidR="00ED3B57" w:rsidRPr="003528A0" w:rsidRDefault="00ED3B57" w:rsidP="00982F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2" w:type="dxa"/>
            <w:vMerge w:val="restart"/>
          </w:tcPr>
          <w:p w:rsidR="00ED3B57" w:rsidRPr="003528A0" w:rsidRDefault="00ED3B57" w:rsidP="00ED3B5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D3B57" w:rsidRPr="00E0176E" w:rsidTr="00982F70">
        <w:tc>
          <w:tcPr>
            <w:tcW w:w="4158" w:type="dxa"/>
          </w:tcPr>
          <w:p w:rsidR="00ED3B57" w:rsidRPr="00BA4429" w:rsidRDefault="00BA4429" w:rsidP="00C75B3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MINISTRY OF ENERGY, COMMERCE AND INDUSTRY</w:t>
            </w:r>
            <w:r w:rsidR="00ED3B57" w:rsidRPr="00BA4429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8" w:type="dxa"/>
          </w:tcPr>
          <w:p w:rsidR="00ED3B57" w:rsidRPr="00BA4429" w:rsidRDefault="00ED3B57" w:rsidP="00982F7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</w:tcPr>
          <w:p w:rsidR="00ED3B57" w:rsidRPr="00BA4429" w:rsidRDefault="00ED3B57" w:rsidP="00982F7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12" w:type="dxa"/>
            <w:vMerge/>
          </w:tcPr>
          <w:p w:rsidR="00ED3B57" w:rsidRPr="00BA4429" w:rsidRDefault="00ED3B57" w:rsidP="00982F70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557C2A" w:rsidRPr="005321C5" w:rsidRDefault="00557C2A" w:rsidP="00FD051D">
      <w:pPr>
        <w:rPr>
          <w:rFonts w:ascii="Calibri" w:hAnsi="Calibri" w:cs="Calibri"/>
          <w:lang w:val="en-US"/>
        </w:rPr>
      </w:pPr>
    </w:p>
    <w:p w:rsidR="00557C2A" w:rsidRPr="004E6074" w:rsidRDefault="00557C2A" w:rsidP="00C75B35">
      <w:pPr>
        <w:rPr>
          <w:rFonts w:ascii="Calibri" w:hAnsi="Calibri" w:cs="Calibri"/>
          <w:lang w:val="en-GB"/>
        </w:rPr>
      </w:pPr>
      <w:r w:rsidRPr="003528A0">
        <w:rPr>
          <w:rFonts w:ascii="Calibri" w:hAnsi="Calibri" w:cs="Calibri"/>
          <w:lang w:val="en-US"/>
        </w:rPr>
        <w:t>Email</w:t>
      </w:r>
      <w:r w:rsidRPr="004E6074">
        <w:rPr>
          <w:rFonts w:ascii="Calibri" w:hAnsi="Calibri" w:cs="Calibri"/>
          <w:lang w:val="en-GB"/>
        </w:rPr>
        <w:t xml:space="preserve">: </w:t>
      </w:r>
      <w:hyperlink r:id="rId10" w:history="1">
        <w:r w:rsidR="00C75B35" w:rsidRPr="00F41044">
          <w:rPr>
            <w:rStyle w:val="Hyperlink"/>
            <w:rFonts w:ascii="Calibri" w:hAnsi="Calibri" w:cs="Calibri"/>
            <w:lang w:val="en-US"/>
          </w:rPr>
          <w:t>info@insolvency.meci.gov.cy</w:t>
        </w:r>
      </w:hyperlink>
    </w:p>
    <w:p w:rsidR="00557C2A" w:rsidRPr="009E50D3" w:rsidRDefault="00557C2A" w:rsidP="00C75B35">
      <w:pPr>
        <w:rPr>
          <w:rFonts w:ascii="Calibri" w:hAnsi="Calibri" w:cs="Calibri"/>
          <w:lang w:val="en-US"/>
        </w:rPr>
      </w:pPr>
      <w:r w:rsidRPr="003528A0">
        <w:rPr>
          <w:rFonts w:ascii="Calibri" w:hAnsi="Calibri" w:cs="Calibri"/>
          <w:lang w:val="en-US"/>
        </w:rPr>
        <w:t>Website</w:t>
      </w:r>
      <w:r w:rsidRPr="009E50D3">
        <w:rPr>
          <w:rFonts w:ascii="Calibri" w:hAnsi="Calibri" w:cs="Calibri"/>
          <w:lang w:val="en-US"/>
        </w:rPr>
        <w:t xml:space="preserve">: </w:t>
      </w:r>
      <w:hyperlink r:id="rId11" w:history="1">
        <w:r w:rsidR="00C75B35" w:rsidRPr="00F41044">
          <w:rPr>
            <w:rStyle w:val="Hyperlink"/>
            <w:rFonts w:ascii="Calibri" w:hAnsi="Calibri" w:cs="Calibri"/>
            <w:lang w:val="en-US"/>
          </w:rPr>
          <w:t>www</w:t>
        </w:r>
        <w:r w:rsidR="00C75B35" w:rsidRPr="009E50D3">
          <w:rPr>
            <w:rStyle w:val="Hyperlink"/>
            <w:rFonts w:ascii="Calibri" w:hAnsi="Calibri" w:cs="Calibri"/>
            <w:lang w:val="en-US"/>
          </w:rPr>
          <w:t>.</w:t>
        </w:r>
        <w:r w:rsidR="00C75B35" w:rsidRPr="00F41044">
          <w:rPr>
            <w:rStyle w:val="Hyperlink"/>
            <w:rFonts w:ascii="Calibri" w:hAnsi="Calibri" w:cs="Calibri"/>
            <w:lang w:val="en-US"/>
          </w:rPr>
          <w:t>insolvency</w:t>
        </w:r>
        <w:r w:rsidR="00C75B35" w:rsidRPr="009E50D3">
          <w:rPr>
            <w:rStyle w:val="Hyperlink"/>
            <w:rFonts w:ascii="Calibri" w:hAnsi="Calibri" w:cs="Calibri"/>
            <w:lang w:val="en-US"/>
          </w:rPr>
          <w:t>.</w:t>
        </w:r>
        <w:r w:rsidR="00C75B35" w:rsidRPr="00F41044">
          <w:rPr>
            <w:rStyle w:val="Hyperlink"/>
            <w:rFonts w:ascii="Calibri" w:hAnsi="Calibri" w:cs="Calibri"/>
            <w:lang w:val="en-US"/>
          </w:rPr>
          <w:t>gov</w:t>
        </w:r>
        <w:r w:rsidR="00C75B35" w:rsidRPr="009E50D3">
          <w:rPr>
            <w:rStyle w:val="Hyperlink"/>
            <w:rFonts w:ascii="Calibri" w:hAnsi="Calibri" w:cs="Calibri"/>
            <w:lang w:val="en-US"/>
          </w:rPr>
          <w:t>.</w:t>
        </w:r>
        <w:r w:rsidR="00C75B35" w:rsidRPr="00F41044">
          <w:rPr>
            <w:rStyle w:val="Hyperlink"/>
            <w:rFonts w:ascii="Calibri" w:hAnsi="Calibri" w:cs="Calibri"/>
            <w:lang w:val="en-US"/>
          </w:rPr>
          <w:t>cy</w:t>
        </w:r>
      </w:hyperlink>
    </w:p>
    <w:p w:rsidR="00557C2A" w:rsidRPr="009E50D3" w:rsidRDefault="00557C2A" w:rsidP="00FD051D">
      <w:pPr>
        <w:rPr>
          <w:rFonts w:ascii="Calibri" w:hAnsi="Calibri" w:cs="Calibri"/>
          <w:b/>
          <w:bCs/>
          <w:lang w:val="en-US"/>
        </w:rPr>
      </w:pPr>
    </w:p>
    <w:p w:rsidR="00557C2A" w:rsidRPr="009E50D3" w:rsidRDefault="00557C2A" w:rsidP="00FD051D">
      <w:pPr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rPr>
          <w:b/>
          <w:bCs/>
          <w:u w:val="single"/>
          <w:lang w:val="en-US"/>
        </w:rPr>
      </w:pPr>
    </w:p>
    <w:p w:rsidR="00557C2A" w:rsidRPr="009E50D3" w:rsidRDefault="00557C2A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ED3B57" w:rsidRPr="009E50D3" w:rsidRDefault="00ED3B57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ED3B57" w:rsidRPr="009E50D3" w:rsidRDefault="00ED3B57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ED3B57" w:rsidRPr="009E50D3" w:rsidRDefault="00ED3B57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ED3B57" w:rsidRPr="009E50D3" w:rsidRDefault="00ED3B57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C75B35" w:rsidRPr="009E50D3" w:rsidRDefault="00C75B35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557C2A" w:rsidRPr="009E50D3" w:rsidRDefault="00557C2A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4E6074" w:rsidRPr="009E50D3" w:rsidRDefault="004E6074" w:rsidP="00FD051D">
      <w:pPr>
        <w:tabs>
          <w:tab w:val="left" w:pos="0"/>
        </w:tabs>
        <w:ind w:left="-450"/>
        <w:rPr>
          <w:rFonts w:ascii="Calibri" w:hAnsi="Calibri" w:cs="Calibri"/>
          <w:b/>
          <w:bCs/>
          <w:u w:val="single"/>
          <w:lang w:val="en-US"/>
        </w:rPr>
      </w:pPr>
    </w:p>
    <w:p w:rsidR="00557C2A" w:rsidRPr="00BA4429" w:rsidRDefault="00BA4429" w:rsidP="00D534B2">
      <w:pPr>
        <w:tabs>
          <w:tab w:val="left" w:pos="0"/>
        </w:tabs>
        <w:ind w:left="-450"/>
        <w:jc w:val="center"/>
        <w:rPr>
          <w:rFonts w:ascii="Calibri" w:hAnsi="Calibri" w:cs="Calibri"/>
          <w:b/>
          <w:bCs/>
          <w:color w:val="D99594"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bCs/>
          <w:color w:val="D99594"/>
          <w:sz w:val="28"/>
          <w:szCs w:val="28"/>
          <w:u w:val="single"/>
          <w:lang w:val="en-US"/>
        </w:rPr>
        <w:lastRenderedPageBreak/>
        <w:t>MANUAL FOR PAYMENT OF DIVIDEND TO CREDITORS</w:t>
      </w:r>
    </w:p>
    <w:p w:rsidR="00557C2A" w:rsidRPr="00BA4429" w:rsidRDefault="00557C2A" w:rsidP="00D534B2">
      <w:pPr>
        <w:tabs>
          <w:tab w:val="left" w:pos="0"/>
        </w:tabs>
        <w:ind w:left="-450"/>
        <w:rPr>
          <w:rFonts w:ascii="Calibri" w:hAnsi="Calibri" w:cs="Calibri"/>
          <w:b/>
          <w:bCs/>
          <w:lang w:val="en-US"/>
        </w:rPr>
      </w:pPr>
    </w:p>
    <w:p w:rsidR="00E91977" w:rsidRPr="00BA4429" w:rsidRDefault="00BA4429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An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informative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letter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sent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bankrupt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regarding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BA442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intention of paying dividend </w:t>
      </w:r>
      <w:r w:rsidR="00557C2A" w:rsidRPr="00BA4429">
        <w:rPr>
          <w:rFonts w:ascii="Calibri" w:hAnsi="Calibri" w:cs="Calibri"/>
          <w:b/>
          <w:bCs/>
          <w:lang w:val="en-US"/>
        </w:rPr>
        <w:t>(</w:t>
      </w:r>
      <w:hyperlink r:id="rId12" w:history="1">
        <w:r w:rsidRPr="00E0176E">
          <w:rPr>
            <w:rStyle w:val="Hyperlink"/>
            <w:rFonts w:ascii="Calibri" w:hAnsi="Calibri" w:cs="Calibri"/>
            <w:b/>
            <w:bCs/>
            <w:lang w:val="en-US"/>
          </w:rPr>
          <w:t xml:space="preserve">Attachment </w:t>
        </w:r>
        <w:r w:rsidR="0074052C" w:rsidRPr="00E0176E">
          <w:rPr>
            <w:rStyle w:val="Hyperlink"/>
            <w:rFonts w:ascii="Calibri" w:hAnsi="Calibri" w:cs="Calibri"/>
            <w:b/>
            <w:bCs/>
            <w:lang w:val="en-US"/>
          </w:rPr>
          <w:t>1</w:t>
        </w:r>
      </w:hyperlink>
      <w:r w:rsidR="00557C2A" w:rsidRPr="00BA4429">
        <w:rPr>
          <w:rFonts w:ascii="Calibri" w:hAnsi="Calibri" w:cs="Calibri"/>
          <w:b/>
          <w:bCs/>
          <w:lang w:val="en-US"/>
        </w:rPr>
        <w:t>)</w:t>
      </w:r>
      <w:r>
        <w:rPr>
          <w:rStyle w:val="Hyperlink"/>
          <w:rFonts w:ascii="Calibri" w:hAnsi="Calibri" w:cs="Calibri"/>
          <w:color w:val="auto"/>
          <w:u w:val="none"/>
          <w:lang w:val="en-US"/>
        </w:rPr>
        <w:t>.</w:t>
      </w:r>
    </w:p>
    <w:p w:rsidR="00D308B5" w:rsidRPr="00BA4429" w:rsidRDefault="00D308B5" w:rsidP="00D534B2">
      <w:p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</w:p>
    <w:p w:rsidR="00D308B5" w:rsidRPr="00A26048" w:rsidRDefault="00A26048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dividend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folder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created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relevant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documents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letters are filed</w:t>
      </w:r>
      <w:r w:rsidR="00D308B5" w:rsidRPr="00A26048">
        <w:rPr>
          <w:rFonts w:ascii="Calibri" w:hAnsi="Calibri" w:cs="Calibri"/>
          <w:lang w:val="en-US"/>
        </w:rPr>
        <w:t>.</w:t>
      </w:r>
    </w:p>
    <w:p w:rsidR="00D308B5" w:rsidRPr="00A26048" w:rsidRDefault="00D308B5" w:rsidP="00D534B2">
      <w:pPr>
        <w:pStyle w:val="ListParagraph"/>
        <w:rPr>
          <w:rFonts w:ascii="Calibri" w:hAnsi="Calibri" w:cs="Calibri"/>
          <w:lang w:val="en-US"/>
        </w:rPr>
      </w:pPr>
    </w:p>
    <w:p w:rsidR="00F37BC2" w:rsidRPr="00A26048" w:rsidRDefault="00A26048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creditors list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prepared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 w:rsidRPr="00A260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includes</w:t>
      </w:r>
      <w:r w:rsidRPr="00A26048">
        <w:rPr>
          <w:rFonts w:ascii="Calibri" w:hAnsi="Calibri" w:cs="Calibri"/>
          <w:lang w:val="en-US"/>
        </w:rPr>
        <w:t xml:space="preserve"> </w:t>
      </w:r>
      <w:r w:rsidRPr="00982292">
        <w:rPr>
          <w:rFonts w:ascii="Calibri" w:hAnsi="Calibri"/>
          <w:lang w:val="en-US"/>
        </w:rPr>
        <w:t>creditors referred in the Statement of Affairs, creditors who verified their debts and creditors that acknowledged by the</w:t>
      </w:r>
      <w:r>
        <w:rPr>
          <w:rFonts w:ascii="Calibri" w:hAnsi="Calibri"/>
          <w:lang w:val="en-US"/>
        </w:rPr>
        <w:t xml:space="preserve"> trustee.</w:t>
      </w:r>
    </w:p>
    <w:p w:rsidR="00F37BC2" w:rsidRPr="00A26048" w:rsidRDefault="00F37BC2" w:rsidP="00F37BC2">
      <w:pPr>
        <w:pStyle w:val="ListParagraph"/>
        <w:rPr>
          <w:rFonts w:ascii="Calibri" w:hAnsi="Calibri" w:cs="Calibri"/>
          <w:lang w:val="en-US"/>
        </w:rPr>
      </w:pPr>
    </w:p>
    <w:p w:rsidR="00B76D75" w:rsidRPr="007A2A30" w:rsidRDefault="00A26048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must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check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if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there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</w:t>
      </w:r>
      <w:r w:rsidR="007C5B26">
        <w:rPr>
          <w:rFonts w:ascii="Calibri" w:hAnsi="Calibri" w:cs="Calibri"/>
          <w:lang w:val="en-US"/>
        </w:rPr>
        <w:t>eferential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creditors</w:t>
      </w:r>
      <w:r w:rsidR="007A2A30" w:rsidRPr="007A2A30">
        <w:rPr>
          <w:rFonts w:ascii="Calibri" w:hAnsi="Calibri" w:cs="Calibri"/>
          <w:lang w:val="en-US"/>
        </w:rPr>
        <w:t xml:space="preserve">, </w:t>
      </w:r>
      <w:r w:rsidR="007A2A30">
        <w:rPr>
          <w:rFonts w:ascii="Calibri" w:hAnsi="Calibri" w:cs="Calibri"/>
          <w:lang w:val="en-US"/>
        </w:rPr>
        <w:t>who</w:t>
      </w:r>
      <w:r w:rsidR="007A2A30" w:rsidRPr="007A2A30">
        <w:rPr>
          <w:rFonts w:ascii="Calibri" w:hAnsi="Calibri" w:cs="Calibri"/>
          <w:lang w:val="en-US"/>
        </w:rPr>
        <w:t xml:space="preserve"> </w:t>
      </w:r>
      <w:r w:rsidR="007A2A30">
        <w:rPr>
          <w:rFonts w:ascii="Calibri" w:hAnsi="Calibri" w:cs="Calibri"/>
          <w:lang w:val="en-US"/>
        </w:rPr>
        <w:t>are</w:t>
      </w:r>
      <w:r w:rsidR="007A2A30" w:rsidRPr="007A2A30">
        <w:rPr>
          <w:rFonts w:ascii="Calibri" w:hAnsi="Calibri" w:cs="Calibri"/>
          <w:lang w:val="en-US"/>
        </w:rPr>
        <w:t xml:space="preserve"> defined in article 38 of the Bankruptcy Law Chapter 5 and are the following</w:t>
      </w:r>
      <w:r w:rsidR="00F37BC2" w:rsidRPr="007A2A30">
        <w:rPr>
          <w:rFonts w:ascii="Calibri" w:hAnsi="Calibri" w:cs="Calibri"/>
          <w:lang w:val="en-US"/>
        </w:rPr>
        <w:t>:</w:t>
      </w:r>
    </w:p>
    <w:p w:rsidR="00F37BC2" w:rsidRPr="007A2A30" w:rsidRDefault="00F37BC2" w:rsidP="00F37BC2">
      <w:pPr>
        <w:pStyle w:val="ListParagraph"/>
        <w:rPr>
          <w:rFonts w:ascii="Calibri" w:hAnsi="Calibri" w:cs="Calibri"/>
          <w:lang w:val="en-US"/>
        </w:rPr>
      </w:pPr>
    </w:p>
    <w:p w:rsidR="00F37BC2" w:rsidRPr="007A2A30" w:rsidRDefault="007A2A30" w:rsidP="00F37BC2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  <w:lang w:val="en-US"/>
        </w:rPr>
      </w:pPr>
      <w:r w:rsidRPr="007A2A30">
        <w:rPr>
          <w:rFonts w:ascii="Calibri" w:hAnsi="Calibri" w:cs="Calibri"/>
          <w:lang w:val="en-US"/>
        </w:rPr>
        <w:t>All Government taxes and duties, council charges due from the bankrupt at the date of the Receivership/Bankruptcy Order and which became due and payable within the twelve months immediately preceding the date of the Receivership Order (</w:t>
      </w:r>
      <w:proofErr w:type="spellStart"/>
      <w:r w:rsidRPr="007A2A30">
        <w:rPr>
          <w:rFonts w:ascii="Calibri" w:hAnsi="Calibri" w:cs="Calibri"/>
          <w:lang w:val="en-US"/>
        </w:rPr>
        <w:t>eg</w:t>
      </w:r>
      <w:proofErr w:type="spellEnd"/>
      <w:r w:rsidRPr="007A2A30">
        <w:rPr>
          <w:rFonts w:ascii="Calibri" w:hAnsi="Calibri" w:cs="Calibri"/>
          <w:lang w:val="en-US"/>
        </w:rPr>
        <w:t xml:space="preserve"> income tax, .P.A.).</w:t>
      </w:r>
    </w:p>
    <w:p w:rsidR="00F37BC2" w:rsidRPr="007A2A30" w:rsidRDefault="007A2A30" w:rsidP="00F37BC2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  <w:lang w:val="en-US"/>
        </w:rPr>
      </w:pPr>
      <w:r w:rsidRPr="007A2A30">
        <w:rPr>
          <w:rFonts w:ascii="Calibri" w:hAnsi="Calibri" w:cs="Calibri"/>
          <w:lang w:val="en-US"/>
        </w:rPr>
        <w:t>Any amount of wages of an employee in proportion to his employment by the bankrupt during the eighteen weeks immediately preceding the issue of the Receivership Order.</w:t>
      </w:r>
    </w:p>
    <w:p w:rsidR="007A2A30" w:rsidRDefault="007A2A30" w:rsidP="00F37BC2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  <w:lang w:val="en-US"/>
        </w:rPr>
      </w:pPr>
      <w:r w:rsidRPr="007A2A30">
        <w:rPr>
          <w:rFonts w:ascii="Calibri" w:hAnsi="Calibri" w:cs="Calibri"/>
          <w:lang w:val="en-US"/>
        </w:rPr>
        <w:t>Any amount of compensation which the bankrupt is obliged to pay to the employee due to bodily injury which the employee suffered as a result of an accident caused by his employment.</w:t>
      </w:r>
    </w:p>
    <w:p w:rsidR="007A2A30" w:rsidRDefault="007A2A30" w:rsidP="007A2A30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  <w:lang w:val="en-US"/>
        </w:rPr>
      </w:pPr>
      <w:r w:rsidRPr="007A2A30">
        <w:rPr>
          <w:rFonts w:ascii="Calibri" w:hAnsi="Calibri" w:cs="Calibri"/>
          <w:lang w:val="en-US"/>
        </w:rPr>
        <w:t>Any amount due to the employee for the leave to which he is entitled from his employment by the bankrupt for a period of employment of a single year.</w:t>
      </w:r>
    </w:p>
    <w:p w:rsidR="00F37BC2" w:rsidRDefault="007A2A30" w:rsidP="007A2A30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  <w:lang w:val="en-US"/>
        </w:rPr>
      </w:pPr>
      <w:r w:rsidRPr="007A2A30">
        <w:rPr>
          <w:rFonts w:ascii="Calibri" w:hAnsi="Calibri" w:cs="Calibri"/>
          <w:lang w:val="en-US"/>
        </w:rPr>
        <w:t xml:space="preserve">All rents accrued and due to the landlord during the four months immediately preceding the date of the </w:t>
      </w:r>
      <w:r>
        <w:rPr>
          <w:rFonts w:ascii="Calibri" w:hAnsi="Calibri" w:cs="Calibri"/>
          <w:lang w:val="en-US"/>
        </w:rPr>
        <w:t>Receivership Order</w:t>
      </w:r>
      <w:r w:rsidRPr="007A2A30">
        <w:rPr>
          <w:rFonts w:ascii="Calibri" w:hAnsi="Calibri" w:cs="Calibri"/>
          <w:lang w:val="en-US"/>
        </w:rPr>
        <w:t>.</w:t>
      </w:r>
      <w:r w:rsidR="00F37BC2" w:rsidRPr="007A2A30">
        <w:rPr>
          <w:lang w:val="en-US"/>
        </w:rPr>
        <w:t xml:space="preserve"> </w:t>
      </w:r>
      <w:r w:rsidR="00F37BC2" w:rsidRPr="007A2A30">
        <w:rPr>
          <w:rFonts w:ascii="Calibri" w:hAnsi="Calibri" w:cs="Calibri"/>
          <w:lang w:val="en-US"/>
        </w:rPr>
        <w:t xml:space="preserve"> </w:t>
      </w:r>
    </w:p>
    <w:p w:rsidR="007A2A30" w:rsidRPr="007A2A30" w:rsidRDefault="007A2A30" w:rsidP="007A2A30">
      <w:pPr>
        <w:pStyle w:val="ListParagraph"/>
        <w:tabs>
          <w:tab w:val="left" w:pos="0"/>
        </w:tabs>
        <w:ind w:left="-90"/>
        <w:jc w:val="both"/>
        <w:rPr>
          <w:rFonts w:ascii="Calibri" w:hAnsi="Calibri" w:cs="Calibri"/>
          <w:lang w:val="en-US"/>
        </w:rPr>
      </w:pPr>
    </w:p>
    <w:p w:rsidR="00F37BC2" w:rsidRPr="007A2A30" w:rsidRDefault="007A2A30" w:rsidP="00F37BC2">
      <w:pPr>
        <w:tabs>
          <w:tab w:val="left" w:pos="0"/>
        </w:tabs>
        <w:ind w:left="-81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Moreover</w:t>
      </w:r>
      <w:r w:rsidRPr="007A2A30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pr</w:t>
      </w:r>
      <w:r w:rsidR="007C5B26">
        <w:rPr>
          <w:rFonts w:ascii="Calibri" w:hAnsi="Calibri" w:cs="Calibri"/>
          <w:lang w:val="en-US"/>
        </w:rPr>
        <w:t>eferential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debts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7A2A3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following</w:t>
      </w:r>
      <w:r w:rsidR="00F37BC2" w:rsidRPr="007A2A30">
        <w:rPr>
          <w:rFonts w:ascii="Calibri" w:hAnsi="Calibri" w:cs="Calibri"/>
          <w:lang w:val="en-US"/>
        </w:rPr>
        <w:t xml:space="preserve">: </w:t>
      </w:r>
    </w:p>
    <w:p w:rsidR="00F37BC2" w:rsidRPr="007A2A30" w:rsidRDefault="007A2A30" w:rsidP="00F37BC2">
      <w:pPr>
        <w:tabs>
          <w:tab w:val="left" w:pos="0"/>
        </w:tabs>
        <w:ind w:left="-81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</w:t>
      </w:r>
      <w:r w:rsidR="00F37BC2" w:rsidRPr="007A2A30">
        <w:rPr>
          <w:rFonts w:ascii="Calibri" w:hAnsi="Calibri" w:cs="Calibri"/>
          <w:lang w:val="en-US"/>
        </w:rPr>
        <w:t xml:space="preserve">) </w:t>
      </w:r>
      <w:r w:rsidRPr="007A2A30">
        <w:rPr>
          <w:rFonts w:ascii="Calibri" w:hAnsi="Calibri" w:cs="Calibri"/>
          <w:lang w:val="en-US"/>
        </w:rPr>
        <w:t>PAYE debts, i.e. deductions made for Income Tax from employees' wages and must be paid by the employer - based on the Income Tax Act 4/78 (section 45)</w:t>
      </w:r>
      <w:r>
        <w:rPr>
          <w:rFonts w:ascii="Calibri" w:hAnsi="Calibri" w:cs="Calibri"/>
          <w:lang w:val="en-US"/>
        </w:rPr>
        <w:t>.</w:t>
      </w:r>
    </w:p>
    <w:p w:rsidR="00F37BC2" w:rsidRPr="007A2A30" w:rsidRDefault="007A2A30" w:rsidP="00F37BC2">
      <w:pPr>
        <w:tabs>
          <w:tab w:val="left" w:pos="0"/>
        </w:tabs>
        <w:ind w:left="-81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</w:t>
      </w:r>
      <w:r w:rsidR="00F37BC2" w:rsidRPr="007A2A30">
        <w:rPr>
          <w:rFonts w:ascii="Calibri" w:hAnsi="Calibri" w:cs="Calibri"/>
          <w:lang w:val="en-US"/>
        </w:rPr>
        <w:t xml:space="preserve">) </w:t>
      </w:r>
      <w:r w:rsidRPr="007A2A30">
        <w:rPr>
          <w:rFonts w:ascii="Calibri" w:hAnsi="Calibri" w:cs="Calibri"/>
          <w:lang w:val="en-US"/>
        </w:rPr>
        <w:t>The debts to the Social Insurance Fund - based on the Social Insurance Law 41/80.</w:t>
      </w:r>
    </w:p>
    <w:p w:rsidR="00F867B7" w:rsidRPr="007A2A30" w:rsidRDefault="007A2A30" w:rsidP="00F867B7">
      <w:pPr>
        <w:tabs>
          <w:tab w:val="left" w:pos="0"/>
        </w:tabs>
        <w:ind w:left="-81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</w:t>
      </w:r>
      <w:r w:rsidR="00F37BC2" w:rsidRPr="007A2A30">
        <w:rPr>
          <w:rFonts w:ascii="Calibri" w:hAnsi="Calibri" w:cs="Calibri"/>
          <w:lang w:val="en-US"/>
        </w:rPr>
        <w:t xml:space="preserve">) </w:t>
      </w:r>
      <w:r w:rsidRPr="007A2A30">
        <w:rPr>
          <w:rFonts w:ascii="Calibri" w:hAnsi="Calibri" w:cs="Calibri"/>
          <w:lang w:val="en-US"/>
        </w:rPr>
        <w:t>Provident Fund – based on the Provident Fund Law 44/81.</w:t>
      </w:r>
    </w:p>
    <w:p w:rsidR="00F867B7" w:rsidRPr="007A2A30" w:rsidRDefault="00F867B7" w:rsidP="00F867B7">
      <w:pPr>
        <w:tabs>
          <w:tab w:val="left" w:pos="0"/>
        </w:tabs>
        <w:ind w:left="-810"/>
        <w:jc w:val="both"/>
        <w:rPr>
          <w:rFonts w:ascii="Calibri" w:hAnsi="Calibri" w:cs="Calibri"/>
          <w:lang w:val="en-US"/>
        </w:rPr>
      </w:pPr>
    </w:p>
    <w:p w:rsidR="00CD4788" w:rsidRPr="007C5B26" w:rsidRDefault="007C5B26" w:rsidP="00F867B7">
      <w:pPr>
        <w:tabs>
          <w:tab w:val="left" w:pos="0"/>
        </w:tabs>
        <w:ind w:left="-810"/>
        <w:jc w:val="both"/>
        <w:rPr>
          <w:rFonts w:ascii="Calibri" w:hAnsi="Calibri" w:cs="Calibri"/>
          <w:lang w:val="en-US"/>
        </w:rPr>
      </w:pPr>
      <w:r w:rsidRPr="007C5B26">
        <w:rPr>
          <w:rFonts w:ascii="Calibri" w:hAnsi="Calibri" w:cs="Calibri"/>
          <w:lang w:val="en-US"/>
        </w:rPr>
        <w:t xml:space="preserve">If there are preferential creditors, </w:t>
      </w:r>
      <w:r>
        <w:rPr>
          <w:rFonts w:ascii="Calibri" w:hAnsi="Calibri" w:cs="Calibri"/>
          <w:lang w:val="en-US"/>
        </w:rPr>
        <w:t>the trustee must calculate</w:t>
      </w:r>
      <w:r w:rsidRPr="007C5B26">
        <w:rPr>
          <w:rFonts w:ascii="Calibri" w:hAnsi="Calibri" w:cs="Calibri"/>
          <w:lang w:val="en-US"/>
        </w:rPr>
        <w:t xml:space="preserve"> according to the money available for payment of dividend, whether the preferential creditors will be </w:t>
      </w:r>
      <w:r>
        <w:rPr>
          <w:rFonts w:ascii="Calibri" w:hAnsi="Calibri" w:cs="Calibri"/>
          <w:lang w:val="en-US"/>
        </w:rPr>
        <w:t>settled</w:t>
      </w:r>
      <w:r w:rsidRPr="007C5B26">
        <w:rPr>
          <w:rFonts w:ascii="Calibri" w:hAnsi="Calibri" w:cs="Calibri"/>
          <w:lang w:val="en-US"/>
        </w:rPr>
        <w:t xml:space="preserve"> and a balance will remain to pay dividend to the other creditors. If only </w:t>
      </w:r>
      <w:r>
        <w:rPr>
          <w:rFonts w:ascii="Calibri" w:hAnsi="Calibri" w:cs="Calibri"/>
          <w:lang w:val="en-US"/>
        </w:rPr>
        <w:t>preferential</w:t>
      </w:r>
      <w:r w:rsidRPr="007C5B26">
        <w:rPr>
          <w:rFonts w:ascii="Calibri" w:hAnsi="Calibri" w:cs="Calibri"/>
          <w:lang w:val="en-US"/>
        </w:rPr>
        <w:t xml:space="preserve"> creditors will be paid, the steps below will apply only to </w:t>
      </w:r>
      <w:r>
        <w:rPr>
          <w:rFonts w:ascii="Calibri" w:hAnsi="Calibri" w:cs="Calibri"/>
          <w:lang w:val="en-US"/>
        </w:rPr>
        <w:t>them</w:t>
      </w:r>
      <w:r w:rsidRPr="007C5B26">
        <w:rPr>
          <w:rFonts w:ascii="Calibri" w:hAnsi="Calibri" w:cs="Calibri"/>
          <w:lang w:val="en-US"/>
        </w:rPr>
        <w:t>.</w:t>
      </w:r>
      <w:r w:rsidR="004368B5" w:rsidRPr="007C5B26">
        <w:rPr>
          <w:rFonts w:ascii="Calibri" w:hAnsi="Calibri" w:cs="Calibri"/>
          <w:lang w:val="en-US"/>
        </w:rPr>
        <w:t xml:space="preserve"> </w:t>
      </w:r>
    </w:p>
    <w:p w:rsidR="00CD4788" w:rsidRPr="007C5B26" w:rsidRDefault="00CD4788" w:rsidP="00CD4788">
      <w:pPr>
        <w:pStyle w:val="ListParagraph"/>
        <w:rPr>
          <w:rFonts w:ascii="Calibri" w:hAnsi="Calibri" w:cs="Calibri"/>
          <w:lang w:val="en-US"/>
        </w:rPr>
      </w:pPr>
    </w:p>
    <w:p w:rsidR="00F37BC2" w:rsidRPr="00DF65A2" w:rsidRDefault="00DD6B2F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Style w:val="Hyperlink"/>
          <w:rFonts w:ascii="Calibri" w:hAnsi="Calibri" w:cs="Calibri"/>
          <w:color w:val="auto"/>
          <w:u w:val="none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sends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letter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creditors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who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did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verify</w:t>
      </w:r>
      <w:r w:rsidRPr="00DD6B2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their debt </w:t>
      </w:r>
      <w:r w:rsidR="00966D0C" w:rsidRPr="00DD6B2F">
        <w:rPr>
          <w:rFonts w:ascii="Calibri" w:hAnsi="Calibri" w:cs="Calibri"/>
          <w:b/>
          <w:bCs/>
          <w:lang w:val="en-US"/>
        </w:rPr>
        <w:t>(</w:t>
      </w:r>
      <w:hyperlink r:id="rId13" w:history="1">
        <w:r w:rsidRPr="00E0176E">
          <w:rPr>
            <w:rStyle w:val="Hyperlink"/>
            <w:rFonts w:ascii="Calibri" w:hAnsi="Calibri" w:cs="Calibri"/>
            <w:b/>
            <w:bCs/>
            <w:lang w:val="en-US"/>
          </w:rPr>
          <w:t>Attachment</w:t>
        </w:r>
        <w:r w:rsidR="00966D0C" w:rsidRPr="00E0176E">
          <w:rPr>
            <w:rStyle w:val="Hyperlink"/>
            <w:rFonts w:ascii="Calibri" w:hAnsi="Calibri" w:cs="Calibri"/>
            <w:b/>
            <w:bCs/>
            <w:lang w:val="en-US"/>
          </w:rPr>
          <w:t xml:space="preserve"> 2</w:t>
        </w:r>
      </w:hyperlink>
      <w:r w:rsidR="00966D0C" w:rsidRPr="00DD6B2F">
        <w:rPr>
          <w:rFonts w:ascii="Calibri" w:hAnsi="Calibri" w:cs="Calibri"/>
          <w:b/>
          <w:bCs/>
          <w:lang w:val="en-US"/>
        </w:rPr>
        <w:t>)</w:t>
      </w:r>
      <w:r w:rsidR="00D308B5" w:rsidRPr="00DD6B2F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 xml:space="preserve">Attaches directions </w:t>
      </w:r>
      <w:r w:rsidR="00966D0C" w:rsidRPr="00DF65A2">
        <w:rPr>
          <w:b/>
          <w:bCs/>
          <w:lang w:val="en-US"/>
        </w:rPr>
        <w:t>(</w:t>
      </w:r>
      <w:hyperlink r:id="rId14" w:history="1">
        <w:r w:rsidRPr="00E0176E">
          <w:rPr>
            <w:rStyle w:val="Hyperlink"/>
            <w:b/>
            <w:bCs/>
            <w:lang w:val="en-US"/>
          </w:rPr>
          <w:t>Attachment</w:t>
        </w:r>
        <w:r w:rsidR="00966D0C" w:rsidRPr="00E0176E">
          <w:rPr>
            <w:rStyle w:val="Hyperlink"/>
            <w:b/>
            <w:bCs/>
            <w:lang w:val="en-US"/>
          </w:rPr>
          <w:t xml:space="preserve"> 3</w:t>
        </w:r>
      </w:hyperlink>
      <w:r w:rsidR="00966D0C" w:rsidRPr="00DF65A2">
        <w:rPr>
          <w:b/>
          <w:bCs/>
          <w:lang w:val="en-US"/>
        </w:rPr>
        <w:t>)</w:t>
      </w:r>
      <w:r w:rsidR="00D308B5"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 proof of debt form</w:t>
      </w:r>
      <w:r w:rsidR="00966D0C" w:rsidRPr="00DF65A2">
        <w:rPr>
          <w:rFonts w:ascii="Calibri" w:hAnsi="Calibri" w:cs="Calibri"/>
          <w:lang w:val="en-US"/>
        </w:rPr>
        <w:t xml:space="preserve"> </w:t>
      </w:r>
      <w:r w:rsidR="00966D0C" w:rsidRPr="00DF65A2">
        <w:rPr>
          <w:b/>
          <w:bCs/>
          <w:lang w:val="en-US"/>
        </w:rPr>
        <w:t>(</w:t>
      </w:r>
      <w:hyperlink r:id="rId15" w:history="1">
        <w:r w:rsidRPr="00E0176E">
          <w:rPr>
            <w:rStyle w:val="Hyperlink"/>
            <w:b/>
            <w:bCs/>
            <w:lang w:val="en-US"/>
          </w:rPr>
          <w:t>Attachment</w:t>
        </w:r>
        <w:r w:rsidR="00966D0C" w:rsidRPr="00E0176E">
          <w:rPr>
            <w:rStyle w:val="Hyperlink"/>
            <w:b/>
            <w:bCs/>
            <w:lang w:val="en-US"/>
          </w:rPr>
          <w:t xml:space="preserve"> 4</w:t>
        </w:r>
      </w:hyperlink>
      <w:r w:rsidR="00966D0C" w:rsidRPr="00DF65A2">
        <w:rPr>
          <w:b/>
          <w:bCs/>
          <w:lang w:val="en-US"/>
        </w:rPr>
        <w:t>)</w:t>
      </w:r>
      <w:r w:rsidR="00966D0C" w:rsidRPr="00DF65A2">
        <w:rPr>
          <w:lang w:val="en-US"/>
        </w:rPr>
        <w:t>.</w:t>
      </w:r>
      <w:r w:rsidR="00966D0C" w:rsidRPr="00DF65A2">
        <w:rPr>
          <w:rStyle w:val="Hyperlink"/>
          <w:color w:val="auto"/>
          <w:u w:val="none"/>
          <w:lang w:val="en-US"/>
        </w:rPr>
        <w:t xml:space="preserve"> </w:t>
      </w:r>
    </w:p>
    <w:p w:rsidR="00F37BC2" w:rsidRPr="00DF65A2" w:rsidRDefault="00F37BC2" w:rsidP="00F37BC2">
      <w:pPr>
        <w:pStyle w:val="ListParagraph"/>
        <w:rPr>
          <w:rFonts w:ascii="Calibri" w:hAnsi="Calibri" w:cs="Calibri"/>
          <w:lang w:val="en-US"/>
        </w:rPr>
      </w:pPr>
    </w:p>
    <w:p w:rsidR="00123835" w:rsidRPr="00DF65A2" w:rsidRDefault="00DF65A2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To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creditors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who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verified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their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</w:t>
      </w:r>
      <w:r w:rsidRPr="00DF65A2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a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letter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sent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order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reply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if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still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due</w:t>
      </w:r>
      <w:r w:rsidRPr="00DF65A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 to send any information requested</w:t>
      </w:r>
      <w:r w:rsidR="00966D0C" w:rsidRPr="00DF65A2">
        <w:rPr>
          <w:rFonts w:ascii="Calibri" w:hAnsi="Calibri" w:cs="Calibri"/>
          <w:lang w:val="en-US"/>
        </w:rPr>
        <w:t xml:space="preserve"> </w:t>
      </w:r>
      <w:r w:rsidR="00966D0C" w:rsidRPr="00DF65A2">
        <w:rPr>
          <w:b/>
          <w:bCs/>
          <w:lang w:val="en-US"/>
        </w:rPr>
        <w:t>(</w:t>
      </w:r>
      <w:hyperlink r:id="rId16" w:history="1">
        <w:r w:rsidRPr="00E0176E">
          <w:rPr>
            <w:rStyle w:val="Hyperlink"/>
            <w:b/>
            <w:bCs/>
            <w:lang w:val="en-US"/>
          </w:rPr>
          <w:t>Attachment</w:t>
        </w:r>
        <w:r w:rsidR="00966D0C" w:rsidRPr="00E0176E">
          <w:rPr>
            <w:rStyle w:val="Hyperlink"/>
            <w:b/>
            <w:bCs/>
            <w:lang w:val="en-US"/>
          </w:rPr>
          <w:t xml:space="preserve"> 5</w:t>
        </w:r>
      </w:hyperlink>
      <w:r w:rsidR="00966D0C" w:rsidRPr="00DF65A2">
        <w:rPr>
          <w:b/>
          <w:bCs/>
          <w:lang w:val="en-US"/>
        </w:rPr>
        <w:t>)</w:t>
      </w:r>
      <w:r w:rsidR="00557C2A" w:rsidRPr="00DF65A2">
        <w:rPr>
          <w:rFonts w:ascii="Calibri" w:hAnsi="Calibri" w:cs="Calibri"/>
          <w:lang w:val="en-US"/>
        </w:rPr>
        <w:t xml:space="preserve">. </w:t>
      </w:r>
    </w:p>
    <w:p w:rsidR="00123835" w:rsidRPr="00DF65A2" w:rsidRDefault="00123835" w:rsidP="00D534B2">
      <w:pPr>
        <w:pStyle w:val="ListParagraph"/>
        <w:rPr>
          <w:rFonts w:ascii="Calibri" w:hAnsi="Calibri" w:cs="Calibri"/>
          <w:lang w:val="en-US"/>
        </w:rPr>
      </w:pPr>
    </w:p>
    <w:p w:rsidR="00123835" w:rsidRPr="0089241A" w:rsidRDefault="0089241A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expenses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made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by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applicant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</w:t>
      </w:r>
      <w:r w:rsidRPr="0089241A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are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bankruptcy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petition expenses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approved by the Court Registrar. Sometimes</w:t>
      </w:r>
      <w:r w:rsidRPr="0089241A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approved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bankruptcy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expenses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written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on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bankruptcy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order. If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bankruptcy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expenses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included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bankruptcy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file</w:t>
      </w:r>
      <w:r w:rsidRPr="0089241A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sends a letter to the applicant creditor in order to submit them.</w:t>
      </w:r>
      <w:r w:rsidR="00123835"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applicant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</w:t>
      </w:r>
      <w:r w:rsidRPr="0089241A">
        <w:rPr>
          <w:rFonts w:ascii="Calibri" w:hAnsi="Calibri" w:cs="Calibri"/>
          <w:lang w:val="en-US"/>
        </w:rPr>
        <w:t>’</w:t>
      </w:r>
      <w:r>
        <w:rPr>
          <w:rFonts w:ascii="Calibri" w:hAnsi="Calibri" w:cs="Calibri"/>
          <w:lang w:val="en-US"/>
        </w:rPr>
        <w:t>s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expenses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paid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priority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before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89241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payment of dividend. </w:t>
      </w:r>
      <w:r w:rsidRPr="0089241A">
        <w:rPr>
          <w:rFonts w:ascii="Calibri" w:hAnsi="Calibri" w:cs="Calibri"/>
        </w:rPr>
        <w:t>(</w:t>
      </w:r>
      <w:r>
        <w:rPr>
          <w:rFonts w:ascii="Calibri" w:hAnsi="Calibri" w:cs="Calibri"/>
          <w:lang w:val="en-US"/>
        </w:rPr>
        <w:t>art</w:t>
      </w:r>
      <w:r w:rsidRPr="0089241A">
        <w:rPr>
          <w:rFonts w:ascii="Calibri" w:hAnsi="Calibri" w:cs="Calibri"/>
        </w:rPr>
        <w:t>. 36</w:t>
      </w:r>
      <w:r w:rsidR="00123835" w:rsidRPr="0089241A">
        <w:rPr>
          <w:rFonts w:ascii="Calibri" w:hAnsi="Calibri" w:cs="Calibri"/>
        </w:rPr>
        <w:t xml:space="preserve"> (1) (</w:t>
      </w:r>
      <w:r>
        <w:rPr>
          <w:rFonts w:ascii="Calibri" w:hAnsi="Calibri" w:cs="Calibri"/>
          <w:lang w:val="en-US"/>
        </w:rPr>
        <w:t>d</w:t>
      </w:r>
      <w:r w:rsidR="00123835" w:rsidRPr="0089241A">
        <w:rPr>
          <w:rFonts w:ascii="Calibri" w:hAnsi="Calibri" w:cs="Calibri"/>
        </w:rPr>
        <w:t>)</w:t>
      </w:r>
      <w:r w:rsidRPr="0089241A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89241A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Bankruptcy</w:t>
      </w:r>
      <w:r w:rsidRPr="0089241A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Law</w:t>
      </w:r>
      <w:r w:rsidRPr="0089241A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Chapter</w:t>
      </w:r>
      <w:r w:rsidRPr="0089241A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5)</w:t>
      </w:r>
      <w:r w:rsidR="00123835" w:rsidRPr="0089241A">
        <w:rPr>
          <w:rFonts w:ascii="Calibri" w:hAnsi="Calibri" w:cs="Calibri"/>
        </w:rPr>
        <w:t xml:space="preserve"> </w:t>
      </w:r>
      <w:r w:rsidR="00123835" w:rsidRPr="0089241A">
        <w:rPr>
          <w:rFonts w:ascii="Calibri" w:hAnsi="Calibri" w:cs="Calibri"/>
          <w:b/>
          <w:bCs/>
        </w:rPr>
        <w:t>(</w:t>
      </w:r>
      <w:hyperlink r:id="rId17" w:history="1">
        <w:r w:rsidRPr="00E0176E">
          <w:rPr>
            <w:rStyle w:val="Hyperlink"/>
            <w:rFonts w:ascii="Calibri" w:hAnsi="Calibri" w:cs="Calibri"/>
            <w:b/>
            <w:bCs/>
            <w:lang w:val="en-US"/>
          </w:rPr>
          <w:t>Attachment</w:t>
        </w:r>
        <w:r w:rsidR="00966D0C" w:rsidRPr="00E0176E">
          <w:rPr>
            <w:rStyle w:val="Hyperlink"/>
            <w:rFonts w:ascii="Calibri" w:hAnsi="Calibri" w:cs="Calibri"/>
            <w:b/>
            <w:bCs/>
          </w:rPr>
          <w:t xml:space="preserve"> 6</w:t>
        </w:r>
      </w:hyperlink>
      <w:r w:rsidR="00123835" w:rsidRPr="0089241A">
        <w:rPr>
          <w:rFonts w:ascii="Calibri" w:hAnsi="Calibri" w:cs="Calibri"/>
          <w:b/>
          <w:bCs/>
        </w:rPr>
        <w:t>)</w:t>
      </w:r>
      <w:r w:rsidR="00B46F96" w:rsidRPr="0089241A">
        <w:rPr>
          <w:rFonts w:ascii="Calibri" w:hAnsi="Calibri" w:cs="Calibri"/>
        </w:rPr>
        <w:t>.</w:t>
      </w:r>
    </w:p>
    <w:p w:rsidR="00D308B5" w:rsidRPr="0089241A" w:rsidRDefault="00D308B5" w:rsidP="00D534B2">
      <w:pPr>
        <w:pStyle w:val="ListParagraph"/>
        <w:rPr>
          <w:rFonts w:ascii="Calibri" w:hAnsi="Calibri" w:cs="Calibri"/>
        </w:rPr>
      </w:pPr>
    </w:p>
    <w:p w:rsidR="002A16E7" w:rsidRPr="009246AF" w:rsidRDefault="0089241A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At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same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time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publishes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Intention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Paying Dividend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Official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Gazette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and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to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the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Insolvency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Department</w:t>
      </w:r>
      <w:r w:rsidR="009246AF" w:rsidRPr="009246AF">
        <w:rPr>
          <w:rFonts w:ascii="Calibri" w:hAnsi="Calibri" w:cs="Calibri"/>
          <w:lang w:val="en-US"/>
        </w:rPr>
        <w:t>’</w:t>
      </w:r>
      <w:r w:rsidR="009246AF">
        <w:rPr>
          <w:rFonts w:ascii="Calibri" w:hAnsi="Calibri" w:cs="Calibri"/>
          <w:lang w:val="en-US"/>
        </w:rPr>
        <w:t>s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webpage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or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to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the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trustee</w:t>
      </w:r>
      <w:r w:rsidR="009246AF" w:rsidRPr="009246AF">
        <w:rPr>
          <w:rFonts w:ascii="Calibri" w:hAnsi="Calibri" w:cs="Calibri"/>
          <w:lang w:val="en-US"/>
        </w:rPr>
        <w:t>’</w:t>
      </w:r>
      <w:r w:rsidR="009246AF">
        <w:rPr>
          <w:rFonts w:ascii="Calibri" w:hAnsi="Calibri" w:cs="Calibri"/>
          <w:lang w:val="en-US"/>
        </w:rPr>
        <w:t>s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webpage</w:t>
      </w:r>
      <w:r w:rsidR="009246AF" w:rsidRPr="009246AF">
        <w:rPr>
          <w:rFonts w:ascii="Calibri" w:hAnsi="Calibri" w:cs="Calibri"/>
          <w:lang w:val="en-US"/>
        </w:rPr>
        <w:t xml:space="preserve">, </w:t>
      </w:r>
      <w:r w:rsidR="009246AF">
        <w:rPr>
          <w:rFonts w:ascii="Calibri" w:hAnsi="Calibri" w:cs="Calibri"/>
          <w:lang w:val="en-US"/>
        </w:rPr>
        <w:t>with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a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deadline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 xml:space="preserve">for submitting verifications </w:t>
      </w:r>
      <w:r w:rsidR="009246AF" w:rsidRPr="009246AF">
        <w:rPr>
          <w:rFonts w:ascii="Calibri" w:hAnsi="Calibri" w:cs="Calibri"/>
          <w:lang w:val="en-US"/>
        </w:rPr>
        <w:t xml:space="preserve">2 </w:t>
      </w:r>
      <w:r w:rsidR="009246AF">
        <w:rPr>
          <w:rFonts w:ascii="Calibri" w:hAnsi="Calibri" w:cs="Calibri"/>
          <w:lang w:val="en-US"/>
        </w:rPr>
        <w:t>weeks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from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the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publication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date</w:t>
      </w:r>
      <w:r w:rsidR="009246AF" w:rsidRPr="009246AF">
        <w:rPr>
          <w:rFonts w:ascii="Calibri" w:hAnsi="Calibri" w:cs="Calibri"/>
          <w:lang w:val="en-US"/>
        </w:rPr>
        <w:t xml:space="preserve"> (</w:t>
      </w:r>
      <w:r w:rsidR="009246AF">
        <w:rPr>
          <w:rFonts w:ascii="Calibri" w:hAnsi="Calibri" w:cs="Calibri"/>
          <w:lang w:val="en-US"/>
        </w:rPr>
        <w:t>art. 121 (1) Bankruptcy Regulations)</w:t>
      </w:r>
      <w:r w:rsidRPr="009246AF">
        <w:rPr>
          <w:rFonts w:ascii="Calibri" w:hAnsi="Calibri" w:cs="Calibri"/>
          <w:lang w:val="en-US"/>
        </w:rPr>
        <w:t xml:space="preserve">. </w:t>
      </w:r>
      <w:r w:rsidR="00D308B5" w:rsidRPr="009E50D3">
        <w:rPr>
          <w:rFonts w:ascii="Calibri" w:hAnsi="Calibri" w:cs="Calibri"/>
          <w:b/>
          <w:bCs/>
          <w:lang w:val="en-US"/>
        </w:rPr>
        <w:t>(</w:t>
      </w:r>
      <w:hyperlink r:id="rId18" w:history="1">
        <w:r w:rsidR="009246AF" w:rsidRPr="00E0176E">
          <w:rPr>
            <w:rStyle w:val="Hyperlink"/>
            <w:rFonts w:ascii="Calibri" w:hAnsi="Calibri" w:cs="Calibri"/>
            <w:b/>
            <w:bCs/>
            <w:lang w:val="en-US"/>
          </w:rPr>
          <w:t>Attachment</w:t>
        </w:r>
        <w:r w:rsidR="00966D0C" w:rsidRPr="00E0176E">
          <w:rPr>
            <w:rStyle w:val="Hyperlink"/>
            <w:rFonts w:ascii="Calibri" w:hAnsi="Calibri" w:cs="Calibri"/>
            <w:b/>
            <w:bCs/>
            <w:lang w:val="en-US"/>
          </w:rPr>
          <w:t xml:space="preserve"> 7</w:t>
        </w:r>
      </w:hyperlink>
      <w:r w:rsidR="00D308B5" w:rsidRPr="009E50D3">
        <w:rPr>
          <w:rFonts w:ascii="Calibri" w:hAnsi="Calibri" w:cs="Calibri"/>
          <w:b/>
          <w:bCs/>
          <w:lang w:val="en-US"/>
        </w:rPr>
        <w:t>)</w:t>
      </w:r>
      <w:r w:rsidR="00B76D75" w:rsidRPr="009E50D3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.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The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dividend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must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be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paid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within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2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months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from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the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publication</w:t>
      </w:r>
      <w:r w:rsidR="009246AF" w:rsidRPr="009246AF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9246AF">
        <w:rPr>
          <w:rStyle w:val="Hyperlink"/>
          <w:rFonts w:ascii="Calibri" w:hAnsi="Calibri" w:cs="Calibri"/>
          <w:color w:val="auto"/>
          <w:u w:val="none"/>
          <w:lang w:val="en-US"/>
        </w:rPr>
        <w:t>date</w:t>
      </w:r>
      <w:r w:rsidR="009246AF">
        <w:rPr>
          <w:rFonts w:ascii="Calibri" w:hAnsi="Calibri" w:cs="Calibri"/>
          <w:lang w:val="en-US"/>
        </w:rPr>
        <w:t>. If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the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payment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of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dividend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is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not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made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within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the</w:t>
      </w:r>
      <w:r w:rsidR="009246AF" w:rsidRPr="009246AF">
        <w:rPr>
          <w:rFonts w:ascii="Calibri" w:hAnsi="Calibri" w:cs="Calibri"/>
          <w:lang w:val="en-US"/>
        </w:rPr>
        <w:t xml:space="preserve"> 2 </w:t>
      </w:r>
      <w:r w:rsidR="009246AF">
        <w:rPr>
          <w:rFonts w:ascii="Calibri" w:hAnsi="Calibri" w:cs="Calibri"/>
          <w:lang w:val="en-US"/>
        </w:rPr>
        <w:t>months</w:t>
      </w:r>
      <w:r w:rsidR="009246AF" w:rsidRPr="009246AF">
        <w:rPr>
          <w:rFonts w:ascii="Calibri" w:hAnsi="Calibri" w:cs="Calibri"/>
          <w:lang w:val="en-US"/>
        </w:rPr>
        <w:t xml:space="preserve">, </w:t>
      </w:r>
      <w:r w:rsidR="009246AF">
        <w:rPr>
          <w:rFonts w:ascii="Calibri" w:hAnsi="Calibri" w:cs="Calibri"/>
          <w:lang w:val="en-US"/>
        </w:rPr>
        <w:t>then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the</w:t>
      </w:r>
      <w:r w:rsidR="009246AF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>publication for the Intention of Paying Dividend must be</w:t>
      </w:r>
      <w:r w:rsidR="00D308B5" w:rsidRPr="009246AF">
        <w:rPr>
          <w:rFonts w:ascii="Calibri" w:hAnsi="Calibri" w:cs="Calibri"/>
          <w:lang w:val="en-US"/>
        </w:rPr>
        <w:t xml:space="preserve"> </w:t>
      </w:r>
      <w:r w:rsidR="009246AF">
        <w:rPr>
          <w:rFonts w:ascii="Calibri" w:hAnsi="Calibri" w:cs="Calibri"/>
          <w:lang w:val="en-US"/>
        </w:rPr>
        <w:t xml:space="preserve">repeated. </w:t>
      </w:r>
    </w:p>
    <w:p w:rsidR="002A16E7" w:rsidRPr="009246AF" w:rsidRDefault="002A16E7" w:rsidP="00D534B2">
      <w:pPr>
        <w:pStyle w:val="ListParagraph"/>
        <w:rPr>
          <w:rFonts w:ascii="Calibri" w:hAnsi="Calibri" w:cs="Calibri"/>
          <w:lang w:val="en-US"/>
        </w:rPr>
      </w:pPr>
    </w:p>
    <w:p w:rsidR="00966D0C" w:rsidRPr="000E32CA" w:rsidRDefault="00767F44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0E32C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examines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the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proof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of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debt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forms</w:t>
      </w:r>
      <w:r w:rsidR="000E32CA">
        <w:rPr>
          <w:rFonts w:ascii="Calibri" w:hAnsi="Calibri" w:cs="Calibri"/>
          <w:lang w:val="en-US"/>
        </w:rPr>
        <w:t xml:space="preserve"> and </w:t>
      </w:r>
      <w:r w:rsidR="00B605EA">
        <w:rPr>
          <w:rFonts w:ascii="Calibri" w:hAnsi="Calibri" w:cs="Calibri"/>
          <w:lang w:val="en-US"/>
        </w:rPr>
        <w:t>checks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that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they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are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filled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properly</w:t>
      </w:r>
      <w:r w:rsidR="00B605EA" w:rsidRPr="000E32CA">
        <w:rPr>
          <w:rFonts w:ascii="Calibri" w:hAnsi="Calibri" w:cs="Calibri"/>
          <w:lang w:val="en-US"/>
        </w:rPr>
        <w:t xml:space="preserve">, </w:t>
      </w:r>
      <w:r w:rsidR="00B605EA">
        <w:rPr>
          <w:rFonts w:ascii="Calibri" w:hAnsi="Calibri" w:cs="Calibri"/>
          <w:lang w:val="en-US"/>
        </w:rPr>
        <w:t>have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a</w:t>
      </w:r>
      <w:r w:rsidR="00B605EA" w:rsidRPr="000E32CA">
        <w:rPr>
          <w:rFonts w:ascii="Calibri" w:hAnsi="Calibri" w:cs="Calibri"/>
          <w:lang w:val="en-US"/>
        </w:rPr>
        <w:t xml:space="preserve"> </w:t>
      </w:r>
      <w:r w:rsidR="00B605EA">
        <w:rPr>
          <w:rFonts w:ascii="Calibri" w:hAnsi="Calibri" w:cs="Calibri"/>
          <w:lang w:val="en-US"/>
        </w:rPr>
        <w:t>stamp</w:t>
      </w:r>
      <w:r w:rsidR="00B605EA" w:rsidRPr="000E32CA">
        <w:rPr>
          <w:rFonts w:ascii="Calibri" w:hAnsi="Calibri" w:cs="Calibri"/>
          <w:lang w:val="en-US"/>
        </w:rPr>
        <w:t>,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are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signed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with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an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affidavit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and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that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the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debt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was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created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before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the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Receivership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Order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for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Orders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issued</w:t>
      </w:r>
      <w:r w:rsidR="000E32CA" w:rsidRPr="000E32CA">
        <w:rPr>
          <w:rFonts w:ascii="Calibri" w:hAnsi="Calibri" w:cs="Calibri"/>
          <w:lang w:val="en-US"/>
        </w:rPr>
        <w:t xml:space="preserve"> </w:t>
      </w:r>
      <w:r w:rsidR="000E32CA">
        <w:rPr>
          <w:rFonts w:ascii="Calibri" w:hAnsi="Calibri" w:cs="Calibri"/>
          <w:lang w:val="en-US"/>
        </w:rPr>
        <w:t>before</w:t>
      </w:r>
      <w:r w:rsidR="005D1468" w:rsidRPr="000E32CA">
        <w:rPr>
          <w:rFonts w:ascii="Calibri" w:hAnsi="Calibri" w:cs="Calibri"/>
          <w:lang w:val="en-US"/>
        </w:rPr>
        <w:t xml:space="preserve"> 07/05/2015</w:t>
      </w:r>
      <w:r w:rsidR="000E32CA">
        <w:rPr>
          <w:rFonts w:ascii="Calibri" w:hAnsi="Calibri" w:cs="Calibri"/>
          <w:lang w:val="en-US"/>
        </w:rPr>
        <w:t xml:space="preserve"> or the Bankruptcy Order for Orders issued after this date. Also the proof of debt must contain all the relevant evidence. </w:t>
      </w:r>
      <w:r w:rsidR="002A16E7" w:rsidRPr="000E32CA">
        <w:rPr>
          <w:rFonts w:ascii="Calibri" w:hAnsi="Calibri" w:cs="Calibri"/>
          <w:lang w:val="en-US"/>
        </w:rPr>
        <w:t xml:space="preserve"> </w:t>
      </w:r>
    </w:p>
    <w:p w:rsidR="00966D0C" w:rsidRPr="000E32CA" w:rsidRDefault="00966D0C" w:rsidP="00D534B2">
      <w:pPr>
        <w:pStyle w:val="ListParagraph"/>
        <w:rPr>
          <w:rFonts w:ascii="Calibri" w:hAnsi="Calibri" w:cs="Calibri"/>
          <w:lang w:val="en-US"/>
        </w:rPr>
      </w:pPr>
    </w:p>
    <w:p w:rsidR="00966D0C" w:rsidRPr="005D3520" w:rsidRDefault="00411FC6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amount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approved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payment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dividend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purposes</w:t>
      </w:r>
      <w:r w:rsidRPr="00411FC6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is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included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interest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expenses</w:t>
      </w:r>
      <w:r w:rsidR="005D3520">
        <w:rPr>
          <w:rFonts w:ascii="Calibri" w:hAnsi="Calibri" w:cs="Calibri"/>
          <w:lang w:val="en-US"/>
        </w:rPr>
        <w:t>,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up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Receivership</w:t>
      </w:r>
      <w:r w:rsidRPr="00411FC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Order date for Orders issued before 07/05/2015 or up to the Bankruptcy Order date for Orders issued after this date.</w:t>
      </w:r>
      <w:r w:rsidR="005D3520">
        <w:rPr>
          <w:rFonts w:ascii="Calibri" w:hAnsi="Calibri" w:cs="Calibri"/>
          <w:lang w:val="en-US"/>
        </w:rPr>
        <w:t xml:space="preserve"> If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the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proof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of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debt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is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approved</w:t>
      </w:r>
      <w:r w:rsidR="005D3520" w:rsidRPr="005D3520">
        <w:rPr>
          <w:rFonts w:ascii="Calibri" w:hAnsi="Calibri" w:cs="Calibri"/>
          <w:lang w:val="en-US"/>
        </w:rPr>
        <w:t xml:space="preserve">, </w:t>
      </w:r>
      <w:r w:rsidR="005D3520">
        <w:rPr>
          <w:rFonts w:ascii="Calibri" w:hAnsi="Calibri" w:cs="Calibri"/>
          <w:lang w:val="en-US"/>
        </w:rPr>
        <w:t>the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trustee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fills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the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approved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amount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for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payment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of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="005D3520">
        <w:rPr>
          <w:rFonts w:ascii="Calibri" w:hAnsi="Calibri" w:cs="Calibri"/>
          <w:lang w:val="en-US"/>
        </w:rPr>
        <w:t>dividend purposes on the proof of debt form and informs the creditor with a letter.</w:t>
      </w:r>
      <w:r w:rsidR="005D3520" w:rsidRPr="005D3520">
        <w:rPr>
          <w:rFonts w:ascii="Calibri" w:hAnsi="Calibri" w:cs="Calibri"/>
          <w:lang w:val="en-US"/>
        </w:rPr>
        <w:t xml:space="preserve"> </w:t>
      </w:r>
      <w:r w:rsidRPr="005D3520">
        <w:rPr>
          <w:rFonts w:ascii="Calibri" w:hAnsi="Calibri" w:cs="Calibri"/>
          <w:lang w:val="en-US"/>
        </w:rPr>
        <w:t xml:space="preserve"> </w:t>
      </w:r>
      <w:r w:rsidR="00966D0C" w:rsidRPr="005D3520">
        <w:rPr>
          <w:b/>
          <w:bCs/>
          <w:lang w:val="en-US"/>
        </w:rPr>
        <w:t>(</w:t>
      </w:r>
      <w:hyperlink r:id="rId19" w:history="1">
        <w:r w:rsidR="005D3520" w:rsidRPr="00E0176E">
          <w:rPr>
            <w:rStyle w:val="Hyperlink"/>
            <w:b/>
            <w:bCs/>
            <w:lang w:val="en-US"/>
          </w:rPr>
          <w:t>Attachment</w:t>
        </w:r>
        <w:r w:rsidR="00966D0C" w:rsidRPr="00E0176E">
          <w:rPr>
            <w:rStyle w:val="Hyperlink"/>
            <w:b/>
            <w:bCs/>
            <w:lang w:val="en-US"/>
          </w:rPr>
          <w:t xml:space="preserve"> 8</w:t>
        </w:r>
      </w:hyperlink>
      <w:r w:rsidR="00966D0C" w:rsidRPr="005D3520">
        <w:rPr>
          <w:b/>
          <w:bCs/>
          <w:lang w:val="en-US"/>
        </w:rPr>
        <w:t>)</w:t>
      </w:r>
      <w:r w:rsidR="00966D0C" w:rsidRPr="005D3520">
        <w:rPr>
          <w:lang w:val="en-US"/>
        </w:rPr>
        <w:t>.</w:t>
      </w:r>
      <w:r w:rsidR="00966D0C" w:rsidRPr="005D3520">
        <w:rPr>
          <w:rFonts w:ascii="Calibri" w:hAnsi="Calibri" w:cs="Calibri"/>
          <w:u w:val="single"/>
          <w:lang w:val="en-US"/>
        </w:rPr>
        <w:t xml:space="preserve"> </w:t>
      </w:r>
    </w:p>
    <w:p w:rsidR="00966D0C" w:rsidRPr="005D3520" w:rsidRDefault="00966D0C" w:rsidP="00D534B2">
      <w:pPr>
        <w:pStyle w:val="ListParagraph"/>
        <w:rPr>
          <w:rFonts w:ascii="Calibri" w:hAnsi="Calibri" w:cs="Calibri"/>
          <w:lang w:val="en-US"/>
        </w:rPr>
      </w:pPr>
    </w:p>
    <w:p w:rsidR="00966D0C" w:rsidRPr="005D3520" w:rsidRDefault="005D3520" w:rsidP="00D534B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Style w:val="Hyperlink"/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lang w:val="en-US"/>
        </w:rPr>
        <w:t>If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rejects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part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entire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amount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proof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</w:t>
      </w:r>
      <w:r w:rsidRPr="005D3520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fills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proof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proof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form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with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 approved amount and informs the creditor with a letter. 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has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right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refer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Court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within</w:t>
      </w:r>
      <w:r w:rsidRPr="005D3520">
        <w:rPr>
          <w:rFonts w:ascii="Calibri" w:hAnsi="Calibri" w:cs="Calibri"/>
          <w:lang w:val="en-US"/>
        </w:rPr>
        <w:t xml:space="preserve"> 21 </w:t>
      </w:r>
      <w:r>
        <w:rPr>
          <w:rFonts w:ascii="Calibri" w:hAnsi="Calibri" w:cs="Calibri"/>
          <w:lang w:val="en-US"/>
        </w:rPr>
        <w:t>days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from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date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letter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change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5D3520">
        <w:rPr>
          <w:rFonts w:ascii="Calibri" w:hAnsi="Calibri" w:cs="Calibri"/>
          <w:lang w:val="en-US"/>
        </w:rPr>
        <w:t>’</w:t>
      </w:r>
      <w:r>
        <w:rPr>
          <w:rFonts w:ascii="Calibri" w:hAnsi="Calibri" w:cs="Calibri"/>
          <w:lang w:val="en-US"/>
        </w:rPr>
        <w:t>s</w:t>
      </w:r>
      <w:r w:rsidRPr="005D35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decision</w:t>
      </w:r>
      <w:r w:rsidR="00966D0C" w:rsidRPr="005D3520">
        <w:rPr>
          <w:rFonts w:ascii="Calibri" w:hAnsi="Calibri" w:cs="Calibri"/>
          <w:lang w:val="en-US"/>
        </w:rPr>
        <w:t xml:space="preserve"> </w:t>
      </w:r>
      <w:r w:rsidR="00966D0C" w:rsidRPr="005D3520">
        <w:rPr>
          <w:rFonts w:ascii="Calibri" w:hAnsi="Calibri" w:cs="Calibri"/>
          <w:b/>
          <w:bCs/>
          <w:lang w:val="en-US"/>
        </w:rPr>
        <w:t>(</w:t>
      </w:r>
      <w:hyperlink r:id="rId20" w:history="1">
        <w:r w:rsidRPr="00E0176E">
          <w:rPr>
            <w:rStyle w:val="Hyperlink"/>
            <w:rFonts w:ascii="Calibri" w:hAnsi="Calibri" w:cs="Calibri"/>
            <w:b/>
            <w:bCs/>
            <w:lang w:val="en-US"/>
          </w:rPr>
          <w:t>Attachment</w:t>
        </w:r>
        <w:r w:rsidR="00966D0C" w:rsidRPr="00E0176E">
          <w:rPr>
            <w:rStyle w:val="Hyperlink"/>
            <w:rFonts w:ascii="Calibri" w:hAnsi="Calibri" w:cs="Calibri"/>
            <w:b/>
            <w:bCs/>
            <w:lang w:val="en-US"/>
          </w:rPr>
          <w:t xml:space="preserve"> 9</w:t>
        </w:r>
      </w:hyperlink>
      <w:r w:rsidR="00966D0C" w:rsidRPr="005D3520">
        <w:rPr>
          <w:rFonts w:ascii="Calibri" w:hAnsi="Calibri" w:cs="Calibri"/>
          <w:b/>
          <w:bCs/>
          <w:lang w:val="en-US"/>
        </w:rPr>
        <w:t>)</w:t>
      </w:r>
      <w:r w:rsidR="00F95690" w:rsidRPr="005D3520">
        <w:rPr>
          <w:rStyle w:val="Hyperlink"/>
          <w:rFonts w:ascii="Calibri" w:hAnsi="Calibri" w:cs="Calibri"/>
          <w:color w:val="auto"/>
          <w:u w:val="none"/>
          <w:lang w:val="en-US"/>
        </w:rPr>
        <w:t>.</w:t>
      </w:r>
    </w:p>
    <w:p w:rsidR="00BA67D1" w:rsidRPr="005D3520" w:rsidRDefault="00BA67D1" w:rsidP="00D534B2">
      <w:pPr>
        <w:pStyle w:val="ListParagraph"/>
        <w:rPr>
          <w:rFonts w:ascii="Calibri" w:hAnsi="Calibri" w:cs="Calibri"/>
          <w:u w:val="single"/>
          <w:lang w:val="en-US"/>
        </w:rPr>
      </w:pPr>
    </w:p>
    <w:p w:rsidR="00BA67D1" w:rsidRPr="00BE4CDD" w:rsidRDefault="00E31FBB" w:rsidP="00BD7FA2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</w:t>
      </w:r>
      <w:r w:rsidR="00BE4CDD">
        <w:rPr>
          <w:rFonts w:ascii="Calibri" w:hAnsi="Calibri" w:cs="Calibri"/>
          <w:lang w:val="en-US"/>
        </w:rPr>
        <w:t>nly creditors</w:t>
      </w:r>
      <w:r>
        <w:rPr>
          <w:rFonts w:ascii="Calibri" w:hAnsi="Calibri" w:cs="Calibri"/>
          <w:lang w:val="en-US"/>
        </w:rPr>
        <w:t xml:space="preserve"> who</w:t>
      </w:r>
      <w:r w:rsidRPr="006B0E4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submitted</w:t>
      </w:r>
      <w:r w:rsidRPr="006B0E4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 w:rsidRPr="006B0E4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proof</w:t>
      </w:r>
      <w:r w:rsidRPr="006B0E4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6B0E4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debt</w:t>
      </w:r>
      <w:r w:rsidRPr="006B0E4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form are</w:t>
      </w:r>
      <w:r w:rsidR="00BE4CDD">
        <w:rPr>
          <w:rFonts w:ascii="Calibri" w:hAnsi="Calibri" w:cs="Calibri"/>
          <w:lang w:val="en-US"/>
        </w:rPr>
        <w:t xml:space="preserve"> </w:t>
      </w:r>
      <w:r w:rsidR="006B0E46">
        <w:rPr>
          <w:rFonts w:ascii="Calibri" w:hAnsi="Calibri" w:cs="Calibri"/>
          <w:lang w:val="en-US"/>
        </w:rPr>
        <w:t>entitled to receive di</w:t>
      </w:r>
      <w:r w:rsidR="00BE4CDD">
        <w:rPr>
          <w:rFonts w:ascii="Calibri" w:hAnsi="Calibri" w:cs="Calibri"/>
          <w:lang w:val="en-US"/>
        </w:rPr>
        <w:t>v</w:t>
      </w:r>
      <w:r w:rsidR="006B0E46">
        <w:rPr>
          <w:rFonts w:ascii="Calibri" w:hAnsi="Calibri" w:cs="Calibri"/>
          <w:lang w:val="en-US"/>
        </w:rPr>
        <w:t>idend.</w:t>
      </w:r>
      <w:r w:rsidR="00BE4CDD">
        <w:rPr>
          <w:rFonts w:ascii="Calibri" w:hAnsi="Calibri" w:cs="Calibri"/>
          <w:lang w:val="en-US"/>
        </w:rPr>
        <w:t xml:space="preserve"> The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trustee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fills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the</w:t>
      </w:r>
      <w:r w:rsidR="00BE4CDD" w:rsidRPr="00BE4CDD">
        <w:rPr>
          <w:rFonts w:ascii="Calibri" w:hAnsi="Calibri" w:cs="Calibri"/>
          <w:lang w:val="en-US"/>
        </w:rPr>
        <w:t xml:space="preserve"> “</w:t>
      </w:r>
      <w:r w:rsidR="00BE4CDD">
        <w:rPr>
          <w:rFonts w:ascii="Calibri" w:hAnsi="Calibri" w:cs="Calibri"/>
          <w:lang w:val="en-US"/>
        </w:rPr>
        <w:t>List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A</w:t>
      </w:r>
      <w:r w:rsidR="00BE4CDD" w:rsidRPr="00BE4CDD">
        <w:rPr>
          <w:rFonts w:ascii="Calibri" w:hAnsi="Calibri" w:cs="Calibri"/>
          <w:lang w:val="en-US"/>
        </w:rPr>
        <w:t xml:space="preserve">” </w:t>
      </w:r>
      <w:r w:rsidR="00BE4CDD">
        <w:rPr>
          <w:rFonts w:ascii="Calibri" w:hAnsi="Calibri" w:cs="Calibri"/>
          <w:lang w:val="en-US"/>
        </w:rPr>
        <w:t>which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contain</w:t>
      </w:r>
      <w:r>
        <w:rPr>
          <w:rFonts w:ascii="Calibri" w:hAnsi="Calibri" w:cs="Calibri"/>
          <w:lang w:val="en-US"/>
        </w:rPr>
        <w:t>s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the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creditors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 xml:space="preserve">who have verified their debt </w:t>
      </w:r>
      <w:r w:rsidR="00BA67D1" w:rsidRPr="00BE4CDD">
        <w:rPr>
          <w:rFonts w:ascii="Calibri" w:hAnsi="Calibri" w:cs="Calibri"/>
          <w:b/>
          <w:bCs/>
          <w:lang w:val="en-US"/>
        </w:rPr>
        <w:t>(</w:t>
      </w:r>
      <w:hyperlink r:id="rId21" w:history="1">
        <w:r w:rsidR="00BE4CDD" w:rsidRPr="00E0176E">
          <w:rPr>
            <w:rStyle w:val="Hyperlink"/>
            <w:rFonts w:ascii="Calibri" w:hAnsi="Calibri" w:cs="Calibri"/>
            <w:b/>
            <w:bCs/>
            <w:lang w:val="en-US"/>
          </w:rPr>
          <w:t>Attachment</w:t>
        </w:r>
        <w:r w:rsidR="00BA67D1" w:rsidRPr="00E0176E">
          <w:rPr>
            <w:rStyle w:val="Hyperlink"/>
            <w:rFonts w:ascii="Calibri" w:hAnsi="Calibri" w:cs="Calibri"/>
            <w:b/>
            <w:bCs/>
            <w:lang w:val="en-US"/>
          </w:rPr>
          <w:t xml:space="preserve"> 10</w:t>
        </w:r>
      </w:hyperlink>
      <w:r w:rsidR="00BA67D1" w:rsidRPr="00BE4CDD">
        <w:rPr>
          <w:rFonts w:ascii="Calibri" w:hAnsi="Calibri" w:cs="Calibri"/>
          <w:b/>
          <w:bCs/>
          <w:lang w:val="en-US"/>
        </w:rPr>
        <w:t>)</w:t>
      </w:r>
      <w:r w:rsidR="00BA67D1" w:rsidRPr="00BE4CDD">
        <w:rPr>
          <w:rStyle w:val="Hyperlink"/>
          <w:rFonts w:ascii="Calibri" w:hAnsi="Calibri" w:cs="Calibri"/>
          <w:color w:val="auto"/>
          <w:u w:val="none"/>
          <w:lang w:val="en-US"/>
        </w:rPr>
        <w:t>.</w:t>
      </w:r>
      <w:r w:rsidR="00BA67D1" w:rsidRPr="00BE4CDD">
        <w:rPr>
          <w:rFonts w:ascii="Calibri" w:hAnsi="Calibri" w:cs="Calibri"/>
          <w:b/>
          <w:bCs/>
          <w:lang w:val="en-US"/>
        </w:rPr>
        <w:t xml:space="preserve">  </w:t>
      </w:r>
      <w:r w:rsidR="00BE4CDD">
        <w:rPr>
          <w:rFonts w:ascii="Calibri" w:hAnsi="Calibri" w:cs="Calibri"/>
          <w:lang w:val="en-US"/>
        </w:rPr>
        <w:t>All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the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data on this list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will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be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filled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at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this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stage</w:t>
      </w:r>
      <w:r w:rsidR="00BE4CDD" w:rsidRPr="00BE4CDD">
        <w:rPr>
          <w:rFonts w:ascii="Calibri" w:hAnsi="Calibri" w:cs="Calibri"/>
          <w:lang w:val="en-US"/>
        </w:rPr>
        <w:t xml:space="preserve">, </w:t>
      </w:r>
      <w:r w:rsidR="00BE4CDD">
        <w:rPr>
          <w:rFonts w:ascii="Calibri" w:hAnsi="Calibri" w:cs="Calibri"/>
          <w:lang w:val="en-US"/>
        </w:rPr>
        <w:t>except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from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the</w:t>
      </w:r>
      <w:r w:rsidR="00BE4CDD" w:rsidRPr="00BE4CDD">
        <w:rPr>
          <w:rFonts w:ascii="Calibri" w:hAnsi="Calibri" w:cs="Calibri"/>
          <w:lang w:val="en-US"/>
        </w:rPr>
        <w:t xml:space="preserve"> “</w:t>
      </w:r>
      <w:r w:rsidR="00BE4CDD">
        <w:rPr>
          <w:rFonts w:ascii="Calibri" w:hAnsi="Calibri" w:cs="Calibri"/>
          <w:lang w:val="en-US"/>
        </w:rPr>
        <w:t>amount</w:t>
      </w:r>
      <w:r w:rsidR="00BE4CDD" w:rsidRPr="00BE4CDD">
        <w:rPr>
          <w:rFonts w:ascii="Calibri" w:hAnsi="Calibri" w:cs="Calibri"/>
          <w:lang w:val="en-US"/>
        </w:rPr>
        <w:t xml:space="preserve"> </w:t>
      </w:r>
      <w:r w:rsidR="00BE4CDD">
        <w:rPr>
          <w:rFonts w:ascii="Calibri" w:hAnsi="Calibri" w:cs="Calibri"/>
          <w:lang w:val="en-US"/>
        </w:rPr>
        <w:t>paid</w:t>
      </w:r>
      <w:r w:rsidR="00BE4CDD" w:rsidRPr="00BE4CDD">
        <w:rPr>
          <w:rFonts w:ascii="Calibri" w:hAnsi="Calibri" w:cs="Calibri"/>
          <w:lang w:val="en-US"/>
        </w:rPr>
        <w:t>”</w:t>
      </w:r>
      <w:r w:rsidR="00BA67D1" w:rsidRPr="00BE4CDD">
        <w:rPr>
          <w:rFonts w:ascii="Calibri" w:hAnsi="Calibri" w:cs="Calibri"/>
          <w:lang w:val="en-US"/>
        </w:rPr>
        <w:t>.</w:t>
      </w:r>
      <w:r w:rsidR="00BA67D1" w:rsidRPr="00BE4CDD">
        <w:rPr>
          <w:rFonts w:ascii="Calibri" w:hAnsi="Calibri" w:cs="Calibri"/>
          <w:b/>
          <w:bCs/>
          <w:lang w:val="en-US"/>
        </w:rPr>
        <w:t xml:space="preserve"> </w:t>
      </w:r>
    </w:p>
    <w:p w:rsidR="002A16E7" w:rsidRPr="00BE4CDD" w:rsidRDefault="002A16E7" w:rsidP="00D534B2">
      <w:pPr>
        <w:pStyle w:val="ListParagraph"/>
        <w:rPr>
          <w:rFonts w:ascii="Calibri" w:hAnsi="Calibri" w:cs="Calibri"/>
          <w:lang w:val="en-US"/>
        </w:rPr>
      </w:pPr>
    </w:p>
    <w:p w:rsidR="0043318F" w:rsidRPr="009261CE" w:rsidRDefault="00BE4CDD" w:rsidP="00D534B2">
      <w:pPr>
        <w:numPr>
          <w:ilvl w:val="0"/>
          <w:numId w:val="1"/>
        </w:numPr>
        <w:tabs>
          <w:tab w:val="left" w:pos="0"/>
        </w:tabs>
        <w:ind w:left="-44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must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prepare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BE4CDD">
        <w:rPr>
          <w:rFonts w:ascii="Calibri" w:hAnsi="Calibri" w:cs="Calibri"/>
          <w:lang w:val="en-US"/>
        </w:rPr>
        <w:t xml:space="preserve"> “</w:t>
      </w:r>
      <w:r>
        <w:rPr>
          <w:rFonts w:ascii="Calibri" w:hAnsi="Calibri" w:cs="Calibri"/>
          <w:lang w:val="en-US"/>
        </w:rPr>
        <w:t>Statement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account</w:t>
      </w:r>
      <w:r w:rsidRPr="00BE4CDD">
        <w:rPr>
          <w:rFonts w:ascii="Calibri" w:hAnsi="Calibri" w:cs="Calibri"/>
          <w:lang w:val="en-US"/>
        </w:rPr>
        <w:t xml:space="preserve">” </w:t>
      </w:r>
      <w:r>
        <w:rPr>
          <w:rFonts w:ascii="Calibri" w:hAnsi="Calibri" w:cs="Calibri"/>
          <w:lang w:val="en-US"/>
        </w:rPr>
        <w:t>for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BE4CD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payment of dividend</w:t>
      </w:r>
      <w:r w:rsidR="00F95690" w:rsidRPr="00BE4CDD">
        <w:rPr>
          <w:rFonts w:ascii="Calibri" w:hAnsi="Calibri" w:cs="Calibri"/>
          <w:lang w:val="en-US"/>
        </w:rPr>
        <w:t xml:space="preserve"> </w:t>
      </w:r>
      <w:r w:rsidR="00F95690" w:rsidRPr="00BE4CDD">
        <w:rPr>
          <w:b/>
          <w:bCs/>
          <w:lang w:val="en-US"/>
        </w:rPr>
        <w:t>(</w:t>
      </w:r>
      <w:hyperlink r:id="rId22" w:history="1">
        <w:r w:rsidRPr="00E0176E">
          <w:rPr>
            <w:rStyle w:val="Hyperlink"/>
            <w:b/>
            <w:bCs/>
            <w:lang w:val="en-US"/>
          </w:rPr>
          <w:t>Attachment</w:t>
        </w:r>
        <w:r w:rsidR="00F95690" w:rsidRPr="00E0176E">
          <w:rPr>
            <w:rStyle w:val="Hyperlink"/>
            <w:b/>
            <w:bCs/>
            <w:lang w:val="en-US"/>
          </w:rPr>
          <w:t xml:space="preserve"> 1</w:t>
        </w:r>
        <w:r w:rsidR="00004A2F" w:rsidRPr="00E0176E">
          <w:rPr>
            <w:rStyle w:val="Hyperlink"/>
            <w:b/>
            <w:bCs/>
            <w:lang w:val="en-US"/>
          </w:rPr>
          <w:t>1</w:t>
        </w:r>
      </w:hyperlink>
      <w:r w:rsidR="00F95690" w:rsidRPr="00BE4CDD">
        <w:rPr>
          <w:b/>
          <w:bCs/>
          <w:lang w:val="en-US"/>
        </w:rPr>
        <w:t>)</w:t>
      </w:r>
      <w:r w:rsidR="00F95690" w:rsidRPr="00BE4CDD">
        <w:rPr>
          <w:lang w:val="en-US"/>
        </w:rPr>
        <w:t>.</w:t>
      </w:r>
      <w:r w:rsidR="00557C2A" w:rsidRPr="00BE4CDD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The statement begins with the balance of account of the bankrupt’s estate. T</w:t>
      </w:r>
      <w:r w:rsidR="00E31FBB">
        <w:rPr>
          <w:rFonts w:ascii="Calibri" w:hAnsi="Calibri" w:cs="Calibri"/>
          <w:lang w:val="en-US"/>
        </w:rPr>
        <w:t>he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applicant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creditor</w:t>
      </w:r>
      <w:r w:rsidR="00E31FBB" w:rsidRPr="00E31FBB">
        <w:rPr>
          <w:rFonts w:ascii="Calibri" w:hAnsi="Calibri" w:cs="Calibri"/>
          <w:lang w:val="en-US"/>
        </w:rPr>
        <w:t>’</w:t>
      </w:r>
      <w:r w:rsidR="00E31FBB">
        <w:rPr>
          <w:rFonts w:ascii="Calibri" w:hAnsi="Calibri" w:cs="Calibri"/>
          <w:lang w:val="en-US"/>
        </w:rPr>
        <w:t>s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expenses, the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publication costs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for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the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intention of paying dividend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and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for payment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of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dividend and any other real expenses according to the article 35 of Bankruptcy Law Chapter 5, are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deducted</w:t>
      </w:r>
      <w:r w:rsidR="00524206">
        <w:rPr>
          <w:rFonts w:ascii="Calibri" w:hAnsi="Calibri" w:cs="Calibri"/>
          <w:lang w:val="en-US"/>
        </w:rPr>
        <w:t>. The remaining balance, will be multiplied</w:t>
      </w:r>
      <w:r w:rsidR="009261CE">
        <w:rPr>
          <w:rFonts w:ascii="Calibri" w:hAnsi="Calibri" w:cs="Calibri"/>
          <w:lang w:val="en-US"/>
        </w:rPr>
        <w:t xml:space="preserve"> with the percentage set in the regulations for fees, in order to calculate </w:t>
      </w:r>
      <w:r w:rsidR="00524206">
        <w:rPr>
          <w:rFonts w:ascii="Calibri" w:hAnsi="Calibri" w:cs="Calibri"/>
          <w:lang w:val="en-US"/>
        </w:rPr>
        <w:t>t</w:t>
      </w:r>
      <w:r w:rsidR="00E31FBB">
        <w:rPr>
          <w:rFonts w:ascii="Calibri" w:hAnsi="Calibri" w:cs="Calibri"/>
          <w:lang w:val="en-US"/>
        </w:rPr>
        <w:t>he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amount</w:t>
      </w:r>
      <w:r w:rsidR="009261CE">
        <w:rPr>
          <w:rFonts w:ascii="Calibri" w:hAnsi="Calibri" w:cs="Calibri"/>
          <w:lang w:val="en-US"/>
        </w:rPr>
        <w:t xml:space="preserve"> which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the trustee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is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entitled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for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the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payment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of</w:t>
      </w:r>
      <w:r w:rsidR="00E31FBB" w:rsidRPr="00E31FBB">
        <w:rPr>
          <w:rFonts w:ascii="Calibri" w:hAnsi="Calibri" w:cs="Calibri"/>
          <w:lang w:val="en-US"/>
        </w:rPr>
        <w:t xml:space="preserve"> </w:t>
      </w:r>
      <w:r w:rsidR="00E31FBB">
        <w:rPr>
          <w:rFonts w:ascii="Calibri" w:hAnsi="Calibri" w:cs="Calibri"/>
          <w:lang w:val="en-US"/>
        </w:rPr>
        <w:t>dividend</w:t>
      </w:r>
      <w:r w:rsidR="009261CE">
        <w:rPr>
          <w:rFonts w:ascii="Calibri" w:hAnsi="Calibri" w:cs="Calibri"/>
          <w:lang w:val="en-US"/>
        </w:rPr>
        <w:t xml:space="preserve">. </w:t>
      </w:r>
      <w:r w:rsidR="00524206">
        <w:rPr>
          <w:rFonts w:ascii="Calibri" w:hAnsi="Calibri" w:cs="Calibri"/>
          <w:lang w:val="en-US"/>
        </w:rPr>
        <w:t>The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balance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after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deducting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the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trustee</w:t>
      </w:r>
      <w:r w:rsidR="00524206" w:rsidRPr="00524206">
        <w:rPr>
          <w:rFonts w:ascii="Calibri" w:hAnsi="Calibri" w:cs="Calibri"/>
          <w:lang w:val="en-US"/>
        </w:rPr>
        <w:t>’</w:t>
      </w:r>
      <w:r w:rsidR="00524206">
        <w:rPr>
          <w:rFonts w:ascii="Calibri" w:hAnsi="Calibri" w:cs="Calibri"/>
          <w:lang w:val="en-US"/>
        </w:rPr>
        <w:t>s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fees</w:t>
      </w:r>
      <w:r w:rsidR="00524206" w:rsidRPr="00524206">
        <w:rPr>
          <w:rFonts w:ascii="Calibri" w:hAnsi="Calibri" w:cs="Calibri"/>
          <w:lang w:val="en-US"/>
        </w:rPr>
        <w:t xml:space="preserve">, </w:t>
      </w:r>
      <w:r w:rsidR="00524206">
        <w:rPr>
          <w:rFonts w:ascii="Calibri" w:hAnsi="Calibri" w:cs="Calibri"/>
          <w:lang w:val="en-US"/>
        </w:rPr>
        <w:t>is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the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amount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to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be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>paid</w:t>
      </w:r>
      <w:r w:rsidR="00524206" w:rsidRPr="00524206">
        <w:rPr>
          <w:rFonts w:ascii="Calibri" w:hAnsi="Calibri" w:cs="Calibri"/>
          <w:lang w:val="en-US"/>
        </w:rPr>
        <w:t xml:space="preserve"> </w:t>
      </w:r>
      <w:r w:rsidR="00524206">
        <w:rPr>
          <w:rFonts w:ascii="Calibri" w:hAnsi="Calibri" w:cs="Calibri"/>
          <w:lang w:val="en-US"/>
        </w:rPr>
        <w:t xml:space="preserve">to the creditors as dividend. </w:t>
      </w:r>
      <w:r w:rsidR="00E31FBB" w:rsidRPr="00524206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According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to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this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amount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and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the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total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amount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of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approved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debt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verifications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of</w:t>
      </w:r>
      <w:r w:rsidR="009261CE" w:rsidRPr="009261CE">
        <w:rPr>
          <w:rFonts w:ascii="Calibri" w:hAnsi="Calibri" w:cs="Calibri"/>
          <w:lang w:val="en-US"/>
        </w:rPr>
        <w:t xml:space="preserve"> “</w:t>
      </w:r>
      <w:r w:rsidR="009261CE">
        <w:rPr>
          <w:rFonts w:ascii="Calibri" w:hAnsi="Calibri" w:cs="Calibri"/>
          <w:lang w:val="en-US"/>
        </w:rPr>
        <w:t>List</w:t>
      </w:r>
      <w:r w:rsidR="009261CE" w:rsidRPr="009261CE">
        <w:rPr>
          <w:rFonts w:ascii="Calibri" w:hAnsi="Calibri" w:cs="Calibri"/>
          <w:lang w:val="en-US"/>
        </w:rPr>
        <w:t xml:space="preserve"> </w:t>
      </w:r>
      <w:r w:rsidR="009261CE">
        <w:rPr>
          <w:rFonts w:ascii="Calibri" w:hAnsi="Calibri" w:cs="Calibri"/>
          <w:lang w:val="en-US"/>
        </w:rPr>
        <w:t>A</w:t>
      </w:r>
      <w:r w:rsidR="009261CE" w:rsidRPr="009261CE">
        <w:rPr>
          <w:rFonts w:ascii="Calibri" w:hAnsi="Calibri" w:cs="Calibri"/>
          <w:lang w:val="en-US"/>
        </w:rPr>
        <w:t xml:space="preserve">” </w:t>
      </w:r>
      <w:r w:rsidR="009261CE">
        <w:rPr>
          <w:rFonts w:ascii="Calibri" w:hAnsi="Calibri" w:cs="Calibri"/>
          <w:lang w:val="en-US"/>
        </w:rPr>
        <w:t>the trustee calculates the percentage of dividend.</w:t>
      </w:r>
    </w:p>
    <w:p w:rsidR="0043318F" w:rsidRPr="009261CE" w:rsidRDefault="0043318F" w:rsidP="00D534B2">
      <w:pPr>
        <w:pStyle w:val="ListParagraph"/>
        <w:rPr>
          <w:rFonts w:ascii="Calibri" w:hAnsi="Calibri" w:cs="Calibri"/>
          <w:lang w:val="en-US"/>
        </w:rPr>
      </w:pPr>
    </w:p>
    <w:p w:rsidR="00557C2A" w:rsidRPr="009261CE" w:rsidRDefault="009261CE" w:rsidP="00D534B2">
      <w:pPr>
        <w:numPr>
          <w:ilvl w:val="0"/>
          <w:numId w:val="1"/>
        </w:numPr>
        <w:tabs>
          <w:tab w:val="left" w:pos="0"/>
        </w:tabs>
        <w:ind w:left="-44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Then</w:t>
      </w:r>
      <w:r w:rsidRPr="009261C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61C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9261C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completes</w:t>
      </w:r>
      <w:r w:rsidRPr="009261C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61CE">
        <w:rPr>
          <w:rFonts w:ascii="Calibri" w:hAnsi="Calibri" w:cs="Calibri"/>
          <w:lang w:val="en-US"/>
        </w:rPr>
        <w:t xml:space="preserve"> “</w:t>
      </w:r>
      <w:r>
        <w:rPr>
          <w:rFonts w:ascii="Calibri" w:hAnsi="Calibri" w:cs="Calibri"/>
          <w:lang w:val="en-US"/>
        </w:rPr>
        <w:t>List</w:t>
      </w:r>
      <w:r w:rsidRPr="009261C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 w:rsidRPr="009261CE">
        <w:rPr>
          <w:rFonts w:ascii="Calibri" w:hAnsi="Calibri" w:cs="Calibri"/>
          <w:lang w:val="en-US"/>
        </w:rPr>
        <w:t xml:space="preserve">” </w:t>
      </w:r>
      <w:r>
        <w:rPr>
          <w:rFonts w:ascii="Calibri" w:hAnsi="Calibri" w:cs="Calibri"/>
          <w:lang w:val="en-US"/>
        </w:rPr>
        <w:t>and</w:t>
      </w:r>
      <w:r w:rsidRPr="009261C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61CE">
        <w:rPr>
          <w:rFonts w:ascii="Calibri" w:hAnsi="Calibri" w:cs="Calibri"/>
          <w:lang w:val="en-US"/>
        </w:rPr>
        <w:t xml:space="preserve"> “</w:t>
      </w:r>
      <w:r>
        <w:rPr>
          <w:rFonts w:ascii="Calibri" w:hAnsi="Calibri" w:cs="Calibri"/>
          <w:lang w:val="en-US"/>
        </w:rPr>
        <w:t>Statement of account”.</w:t>
      </w:r>
      <w:r w:rsidRPr="009261CE">
        <w:rPr>
          <w:rFonts w:ascii="Calibri" w:hAnsi="Calibri" w:cs="Calibri"/>
          <w:lang w:val="en-US"/>
        </w:rPr>
        <w:t xml:space="preserve"> </w:t>
      </w:r>
    </w:p>
    <w:p w:rsidR="00F95690" w:rsidRPr="009261CE" w:rsidRDefault="00F95690" w:rsidP="00D534B2">
      <w:pPr>
        <w:tabs>
          <w:tab w:val="left" w:pos="0"/>
        </w:tabs>
        <w:ind w:left="-448"/>
        <w:jc w:val="both"/>
        <w:rPr>
          <w:rStyle w:val="Hyperlink"/>
          <w:rFonts w:ascii="Calibri" w:hAnsi="Calibri" w:cs="Calibri"/>
          <w:b/>
          <w:bCs/>
          <w:lang w:val="en-US"/>
        </w:rPr>
      </w:pPr>
    </w:p>
    <w:p w:rsidR="00E36B81" w:rsidRPr="00AF49FB" w:rsidRDefault="009261CE" w:rsidP="009E7E01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If</w:t>
      </w:r>
      <w:r w:rsidRPr="00A668B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amount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calculated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to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be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paid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as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dividend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is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enough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to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pay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all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verified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debts</w:t>
      </w:r>
      <w:r w:rsidR="00A668BB" w:rsidRPr="00A668BB">
        <w:rPr>
          <w:rFonts w:ascii="Calibri" w:hAnsi="Calibri" w:cs="Calibri"/>
          <w:lang w:val="en-US"/>
        </w:rPr>
        <w:t xml:space="preserve"> 100% </w:t>
      </w:r>
      <w:r w:rsidR="00A668BB">
        <w:rPr>
          <w:rFonts w:ascii="Calibri" w:hAnsi="Calibri" w:cs="Calibri"/>
          <w:lang w:val="en-US"/>
        </w:rPr>
        <w:t>and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there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is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still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a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surplus, then the trustee must calculate interest for all creditors up to the date of the payment of dividend with a percentage of 9% (article 38 (6) of Bankruptcy Law Chapter 5). A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percentage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greater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than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F95690" w:rsidRPr="00A668BB">
        <w:rPr>
          <w:rFonts w:ascii="Calibri" w:hAnsi="Calibri" w:cs="Calibri"/>
          <w:lang w:val="en-US"/>
        </w:rPr>
        <w:t>9%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is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applied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only if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there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is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a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Court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Order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stating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it and only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A668BB">
        <w:rPr>
          <w:rFonts w:ascii="Calibri" w:hAnsi="Calibri" w:cs="Calibri"/>
          <w:lang w:val="en-US"/>
        </w:rPr>
        <w:t>if all creditors are settled in full (article 62 of Bankruptcy Law Chapter 5).</w:t>
      </w:r>
      <w:r w:rsidR="00A668BB" w:rsidRPr="00A668BB">
        <w:rPr>
          <w:rFonts w:ascii="Calibri" w:hAnsi="Calibri" w:cs="Calibri"/>
          <w:lang w:val="en-US"/>
        </w:rPr>
        <w:t xml:space="preserve"> </w:t>
      </w:r>
      <w:r w:rsidR="00F95690" w:rsidRPr="00A668BB">
        <w:rPr>
          <w:rFonts w:ascii="Calibri" w:hAnsi="Calibri" w:cs="Calibri"/>
          <w:lang w:val="en-US"/>
        </w:rPr>
        <w:t xml:space="preserve"> </w:t>
      </w:r>
      <w:r w:rsidR="00AF49FB">
        <w:rPr>
          <w:rFonts w:ascii="Calibri" w:hAnsi="Calibri" w:cs="Calibri"/>
          <w:lang w:val="en-US"/>
        </w:rPr>
        <w:t>Therefore</w:t>
      </w:r>
      <w:r w:rsidR="00AF49FB" w:rsidRPr="00AF49FB">
        <w:rPr>
          <w:rFonts w:ascii="Calibri" w:hAnsi="Calibri" w:cs="Calibri"/>
          <w:lang w:val="en-US"/>
        </w:rPr>
        <w:t xml:space="preserve"> </w:t>
      </w:r>
      <w:r w:rsidR="00AF49FB">
        <w:rPr>
          <w:rFonts w:ascii="Calibri" w:hAnsi="Calibri" w:cs="Calibri"/>
          <w:lang w:val="en-US"/>
        </w:rPr>
        <w:t>in this case columns</w:t>
      </w:r>
      <w:r w:rsidR="00AF49FB" w:rsidRPr="00AF49FB">
        <w:rPr>
          <w:rFonts w:ascii="Calibri" w:hAnsi="Calibri" w:cs="Calibri"/>
          <w:lang w:val="en-US"/>
        </w:rPr>
        <w:t xml:space="preserve"> </w:t>
      </w:r>
      <w:r w:rsidR="00AF49FB">
        <w:rPr>
          <w:rFonts w:ascii="Calibri" w:hAnsi="Calibri" w:cs="Calibri"/>
          <w:lang w:val="en-US"/>
        </w:rPr>
        <w:t>for</w:t>
      </w:r>
      <w:r w:rsidR="00AF49FB" w:rsidRPr="00AF49FB">
        <w:rPr>
          <w:rFonts w:ascii="Calibri" w:hAnsi="Calibri" w:cs="Calibri"/>
          <w:lang w:val="en-US"/>
        </w:rPr>
        <w:t xml:space="preserve"> </w:t>
      </w:r>
      <w:r w:rsidR="00AF49FB">
        <w:rPr>
          <w:rFonts w:ascii="Calibri" w:hAnsi="Calibri" w:cs="Calibri"/>
          <w:lang w:val="en-US"/>
        </w:rPr>
        <w:t>interest must</w:t>
      </w:r>
      <w:r w:rsidR="00AF49FB" w:rsidRPr="00AF49FB">
        <w:rPr>
          <w:rFonts w:ascii="Calibri" w:hAnsi="Calibri" w:cs="Calibri"/>
          <w:lang w:val="en-US"/>
        </w:rPr>
        <w:t xml:space="preserve"> </w:t>
      </w:r>
      <w:r w:rsidR="00AF49FB">
        <w:rPr>
          <w:rFonts w:ascii="Calibri" w:hAnsi="Calibri" w:cs="Calibri"/>
          <w:lang w:val="en-US"/>
        </w:rPr>
        <w:t>be</w:t>
      </w:r>
      <w:r w:rsidR="00AF49FB" w:rsidRPr="00AF49FB">
        <w:rPr>
          <w:rFonts w:ascii="Calibri" w:hAnsi="Calibri" w:cs="Calibri"/>
          <w:lang w:val="en-US"/>
        </w:rPr>
        <w:t xml:space="preserve"> </w:t>
      </w:r>
      <w:r w:rsidR="00AF49FB">
        <w:rPr>
          <w:rFonts w:ascii="Calibri" w:hAnsi="Calibri" w:cs="Calibri"/>
          <w:lang w:val="en-US"/>
        </w:rPr>
        <w:t>added on</w:t>
      </w:r>
      <w:r w:rsidR="00AF49FB" w:rsidRPr="00AF49FB">
        <w:rPr>
          <w:rFonts w:ascii="Calibri" w:hAnsi="Calibri" w:cs="Calibri"/>
          <w:lang w:val="en-US"/>
        </w:rPr>
        <w:t xml:space="preserve"> “</w:t>
      </w:r>
      <w:r w:rsidR="00AF49FB">
        <w:rPr>
          <w:rFonts w:ascii="Calibri" w:hAnsi="Calibri" w:cs="Calibri"/>
          <w:lang w:val="en-US"/>
        </w:rPr>
        <w:t>List</w:t>
      </w:r>
      <w:r w:rsidR="00AF49FB" w:rsidRPr="00AF49FB">
        <w:rPr>
          <w:rFonts w:ascii="Calibri" w:hAnsi="Calibri" w:cs="Calibri"/>
          <w:lang w:val="en-US"/>
        </w:rPr>
        <w:t xml:space="preserve"> </w:t>
      </w:r>
      <w:r w:rsidR="00AF49FB">
        <w:rPr>
          <w:rFonts w:ascii="Calibri" w:hAnsi="Calibri" w:cs="Calibri"/>
          <w:lang w:val="en-US"/>
        </w:rPr>
        <w:t>A</w:t>
      </w:r>
      <w:r w:rsidR="00AF49FB" w:rsidRPr="00AF49FB">
        <w:rPr>
          <w:rFonts w:ascii="Calibri" w:hAnsi="Calibri" w:cs="Calibri"/>
          <w:lang w:val="en-US"/>
        </w:rPr>
        <w:t>”</w:t>
      </w:r>
      <w:r w:rsidR="00E36B81" w:rsidRPr="00AF49FB">
        <w:rPr>
          <w:rFonts w:ascii="Calibri" w:hAnsi="Calibri" w:cs="Calibri"/>
          <w:lang w:val="en-US"/>
        </w:rPr>
        <w:t>.</w:t>
      </w:r>
    </w:p>
    <w:p w:rsidR="00E36B81" w:rsidRPr="00AF49FB" w:rsidRDefault="00E36B81" w:rsidP="00E36B81">
      <w:pPr>
        <w:pStyle w:val="ListParagraph"/>
        <w:rPr>
          <w:rFonts w:ascii="Calibri" w:hAnsi="Calibri" w:cs="Calibri"/>
          <w:lang w:val="en-US"/>
        </w:rPr>
      </w:pPr>
    </w:p>
    <w:p w:rsidR="007D22E9" w:rsidRPr="00AF49FB" w:rsidRDefault="00AF49FB" w:rsidP="009E7E01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Then</w:t>
      </w:r>
      <w:r w:rsidRPr="00AF49FB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the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publishes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Payment of Dividend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Official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Gazette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Insolvency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Department</w:t>
      </w:r>
      <w:r w:rsidRPr="009246AF">
        <w:rPr>
          <w:rFonts w:ascii="Calibri" w:hAnsi="Calibri" w:cs="Calibri"/>
          <w:lang w:val="en-US"/>
        </w:rPr>
        <w:t>’</w:t>
      </w:r>
      <w:r>
        <w:rPr>
          <w:rFonts w:ascii="Calibri" w:hAnsi="Calibri" w:cs="Calibri"/>
          <w:lang w:val="en-US"/>
        </w:rPr>
        <w:t>s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webpage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trustee</w:t>
      </w:r>
      <w:r w:rsidRPr="009246AF">
        <w:rPr>
          <w:rFonts w:ascii="Calibri" w:hAnsi="Calibri" w:cs="Calibri"/>
          <w:lang w:val="en-US"/>
        </w:rPr>
        <w:t>’</w:t>
      </w:r>
      <w:r>
        <w:rPr>
          <w:rFonts w:ascii="Calibri" w:hAnsi="Calibri" w:cs="Calibri"/>
          <w:lang w:val="en-US"/>
        </w:rPr>
        <w:t>s</w:t>
      </w:r>
      <w:r w:rsidRPr="009246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webpage</w:t>
      </w:r>
      <w:r w:rsidR="00E36B81" w:rsidRPr="00AF49FB">
        <w:rPr>
          <w:rFonts w:ascii="Calibri" w:hAnsi="Calibri" w:cs="Calibri"/>
          <w:lang w:val="en-US"/>
        </w:rPr>
        <w:t xml:space="preserve"> </w:t>
      </w:r>
      <w:r w:rsidR="007B7D11" w:rsidRPr="00AF49FB">
        <w:rPr>
          <w:rFonts w:ascii="Calibri" w:hAnsi="Calibri" w:cs="Calibri"/>
          <w:b/>
          <w:bCs/>
          <w:lang w:val="en-US"/>
        </w:rPr>
        <w:t>(</w:t>
      </w:r>
      <w:hyperlink r:id="rId23" w:history="1">
        <w:r w:rsidRPr="00E0176E">
          <w:rPr>
            <w:rStyle w:val="Hyperlink"/>
            <w:rFonts w:ascii="Calibri" w:hAnsi="Calibri" w:cs="Calibri"/>
            <w:b/>
            <w:bCs/>
            <w:lang w:val="en-US"/>
          </w:rPr>
          <w:t>Attachment</w:t>
        </w:r>
        <w:r w:rsidR="00E36B81" w:rsidRPr="00E0176E">
          <w:rPr>
            <w:rStyle w:val="Hyperlink"/>
            <w:rFonts w:ascii="Calibri" w:hAnsi="Calibri" w:cs="Calibri"/>
            <w:b/>
            <w:bCs/>
            <w:lang w:val="en-US"/>
          </w:rPr>
          <w:t xml:space="preserve"> 1</w:t>
        </w:r>
        <w:r w:rsidR="00B713DF" w:rsidRPr="00E0176E">
          <w:rPr>
            <w:rStyle w:val="Hyperlink"/>
            <w:rFonts w:ascii="Calibri" w:hAnsi="Calibri" w:cs="Calibri"/>
            <w:b/>
            <w:bCs/>
            <w:lang w:val="en-US"/>
          </w:rPr>
          <w:t>2</w:t>
        </w:r>
      </w:hyperlink>
      <w:r w:rsidR="00732B7A" w:rsidRPr="00AF49FB">
        <w:rPr>
          <w:rFonts w:ascii="Calibri" w:hAnsi="Calibri" w:cs="Calibri"/>
          <w:b/>
          <w:bCs/>
          <w:lang w:val="en-US"/>
        </w:rPr>
        <w:t>)</w:t>
      </w:r>
      <w:r w:rsidR="00E36B81" w:rsidRPr="00AF49FB">
        <w:rPr>
          <w:rStyle w:val="Hyperlink"/>
          <w:rFonts w:ascii="Calibri" w:hAnsi="Calibri" w:cs="Calibri"/>
          <w:color w:val="auto"/>
          <w:u w:val="none"/>
          <w:lang w:val="en-US"/>
        </w:rPr>
        <w:t>.</w:t>
      </w:r>
    </w:p>
    <w:p w:rsidR="00732B7A" w:rsidRPr="00AF49FB" w:rsidRDefault="00732B7A" w:rsidP="00D534B2">
      <w:pPr>
        <w:tabs>
          <w:tab w:val="left" w:pos="0"/>
        </w:tabs>
        <w:ind w:left="-450"/>
        <w:jc w:val="both"/>
        <w:rPr>
          <w:rFonts w:ascii="Calibri" w:hAnsi="Calibri" w:cs="Calibri"/>
          <w:b/>
          <w:bCs/>
          <w:lang w:val="en-US"/>
        </w:rPr>
      </w:pPr>
    </w:p>
    <w:p w:rsidR="00F867B7" w:rsidRPr="00AF49FB" w:rsidRDefault="00AF49FB" w:rsidP="00F867B7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lastRenderedPageBreak/>
        <w:t>At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same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time</w:t>
      </w:r>
      <w:r w:rsidRPr="00AF49FB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a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letter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sent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creditors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who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will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receive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dividend</w:t>
      </w:r>
      <w:r w:rsidRPr="00AF49FB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which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informs them about the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percentage and the amount of dividend, along with the statement of account. </w:t>
      </w:r>
      <w:r w:rsidR="00E36B81" w:rsidRPr="00AF49FB">
        <w:rPr>
          <w:b/>
          <w:bCs/>
        </w:rPr>
        <w:t>(</w:t>
      </w:r>
      <w:hyperlink r:id="rId24" w:history="1">
        <w:r w:rsidRPr="00E0176E">
          <w:rPr>
            <w:rStyle w:val="Hyperlink"/>
            <w:b/>
            <w:bCs/>
            <w:lang w:val="en-US"/>
          </w:rPr>
          <w:t>Attachment</w:t>
        </w:r>
        <w:r w:rsidR="00E36B81" w:rsidRPr="00E0176E">
          <w:rPr>
            <w:rStyle w:val="Hyperlink"/>
            <w:b/>
            <w:bCs/>
          </w:rPr>
          <w:t xml:space="preserve"> 1</w:t>
        </w:r>
        <w:r w:rsidR="00B713DF" w:rsidRPr="00E0176E">
          <w:rPr>
            <w:rStyle w:val="Hyperlink"/>
            <w:b/>
            <w:bCs/>
          </w:rPr>
          <w:t>3</w:t>
        </w:r>
      </w:hyperlink>
      <w:r w:rsidR="00E36B81" w:rsidRPr="00AF49FB">
        <w:rPr>
          <w:b/>
          <w:bCs/>
        </w:rPr>
        <w:t>)</w:t>
      </w:r>
      <w:r w:rsidR="00E36B81" w:rsidRPr="00AF49FB">
        <w:t>.</w:t>
      </w:r>
    </w:p>
    <w:p w:rsidR="00F867B7" w:rsidRPr="00AF49FB" w:rsidRDefault="00F867B7" w:rsidP="00F867B7">
      <w:pPr>
        <w:pStyle w:val="ListParagraph"/>
        <w:rPr>
          <w:rFonts w:ascii="Calibri" w:hAnsi="Calibri" w:cs="Calibri"/>
        </w:rPr>
      </w:pPr>
    </w:p>
    <w:p w:rsidR="000D609A" w:rsidRPr="00AF49FB" w:rsidRDefault="00AF49FB" w:rsidP="00F867B7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same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procedure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followed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also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payment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dividend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companies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under</w:t>
      </w:r>
      <w:r w:rsidRPr="00AF49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liquidation</w:t>
      </w:r>
      <w:r w:rsidRPr="00AF49FB">
        <w:rPr>
          <w:rFonts w:ascii="Calibri" w:hAnsi="Calibri" w:cs="Calibri"/>
          <w:lang w:val="en-US"/>
        </w:rPr>
        <w:t xml:space="preserve"> </w:t>
      </w:r>
      <w:r w:rsidR="002B62ED" w:rsidRPr="00AF49FB">
        <w:rPr>
          <w:rFonts w:ascii="Calibri" w:hAnsi="Calibri" w:cs="Calibri"/>
          <w:lang w:val="en-US"/>
        </w:rPr>
        <w:t xml:space="preserve"> </w:t>
      </w:r>
      <w:r w:rsidR="000D609A" w:rsidRPr="00AF49FB">
        <w:rPr>
          <w:rFonts w:ascii="Calibri" w:hAnsi="Calibri" w:cs="Calibri"/>
          <w:lang w:val="en-US"/>
        </w:rPr>
        <w:t>(</w:t>
      </w:r>
      <w:r>
        <w:rPr>
          <w:rFonts w:ascii="Calibri" w:hAnsi="Calibri" w:cs="Calibri"/>
          <w:lang w:val="en-US"/>
        </w:rPr>
        <w:t>Article 299</w:t>
      </w:r>
      <w:r w:rsidR="000D609A" w:rsidRPr="00AF49FB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The Companies Law Chapter 113</w:t>
      </w:r>
      <w:r w:rsidR="000D609A" w:rsidRPr="00AF49FB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>.</w:t>
      </w:r>
      <w:r w:rsidR="00A94BB2">
        <w:rPr>
          <w:rFonts w:ascii="Calibri" w:hAnsi="Calibri" w:cs="Calibri"/>
          <w:lang w:val="en-US"/>
        </w:rPr>
        <w:t xml:space="preserve"> The preferential creditors are defined in article 300 of The Companies Law Chapter 113. </w:t>
      </w:r>
      <w:r>
        <w:rPr>
          <w:rFonts w:ascii="Calibri" w:hAnsi="Calibri" w:cs="Calibri"/>
          <w:lang w:val="en-US"/>
        </w:rPr>
        <w:t xml:space="preserve"> If a floating charge, then after the settlement of preferential creditors, the holder of the floating charge has priority over the remaining unsecured – non preferential creditors (Article 300-The Companies Law Chapter 113). </w:t>
      </w:r>
    </w:p>
    <w:p w:rsidR="00F867B7" w:rsidRPr="00A94BB2" w:rsidRDefault="00F867B7" w:rsidP="00D534B2">
      <w:pPr>
        <w:tabs>
          <w:tab w:val="left" w:pos="0"/>
        </w:tabs>
        <w:ind w:left="-450"/>
        <w:jc w:val="both"/>
        <w:rPr>
          <w:rFonts w:ascii="Calibri" w:hAnsi="Calibri" w:cs="Calibri"/>
          <w:lang w:val="en-US"/>
        </w:rPr>
      </w:pPr>
    </w:p>
    <w:p w:rsidR="00F867B7" w:rsidRPr="00F867B7" w:rsidRDefault="009F5742" w:rsidP="00F867B7">
      <w:pPr>
        <w:numPr>
          <w:ilvl w:val="0"/>
          <w:numId w:val="1"/>
        </w:numPr>
        <w:tabs>
          <w:tab w:val="left" w:pos="0"/>
        </w:tabs>
        <w:ind w:left="-45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Insolvency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Practitioners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must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send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a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copy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of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List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A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to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Insolvency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Department for informing the case file. Moreover</w:t>
      </w:r>
      <w:r w:rsidRPr="009F5742">
        <w:rPr>
          <w:rFonts w:ascii="Calibri" w:hAnsi="Calibri" w:cs="Calibri"/>
          <w:b/>
          <w:bCs/>
          <w:lang w:val="en-US"/>
        </w:rPr>
        <w:t xml:space="preserve">, </w:t>
      </w:r>
      <w:r>
        <w:rPr>
          <w:rFonts w:ascii="Calibri" w:hAnsi="Calibri" w:cs="Calibri"/>
          <w:b/>
          <w:bCs/>
          <w:lang w:val="en-US"/>
        </w:rPr>
        <w:t>copies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of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receipts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 w:rsidR="00C33E74">
        <w:rPr>
          <w:rFonts w:ascii="Calibri" w:hAnsi="Calibri" w:cs="Calibri"/>
          <w:b/>
          <w:bCs/>
          <w:lang w:val="en-US"/>
        </w:rPr>
        <w:t>for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dividend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amount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paid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to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creditors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must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 xml:space="preserve">be included in the </w:t>
      </w:r>
      <w:r w:rsidR="00C33E74">
        <w:rPr>
          <w:rFonts w:ascii="Calibri" w:hAnsi="Calibri" w:cs="Calibri"/>
          <w:b/>
          <w:bCs/>
          <w:lang w:val="en-US"/>
        </w:rPr>
        <w:t xml:space="preserve">Accounts of Receipts and Payments which is sent to the Department of Insolvency for audit. </w:t>
      </w:r>
      <w:r w:rsidRPr="009F5742">
        <w:rPr>
          <w:rFonts w:ascii="Calibri" w:hAnsi="Calibri" w:cs="Calibri"/>
          <w:b/>
          <w:bCs/>
          <w:lang w:val="en-US"/>
        </w:rPr>
        <w:t xml:space="preserve"> </w:t>
      </w:r>
      <w:r w:rsidR="00F867B7" w:rsidRPr="00F867B7">
        <w:rPr>
          <w:rFonts w:ascii="Calibri" w:hAnsi="Calibri" w:cs="Calibri"/>
          <w:b/>
          <w:bCs/>
        </w:rPr>
        <w:t>(</w:t>
      </w:r>
      <w:hyperlink r:id="rId25" w:history="1">
        <w:r w:rsidR="00C33E74" w:rsidRPr="00E0176E">
          <w:rPr>
            <w:rStyle w:val="Hyperlink"/>
            <w:b/>
            <w:bCs/>
            <w:lang w:val="en-US"/>
          </w:rPr>
          <w:t>Attachment</w:t>
        </w:r>
        <w:r w:rsidR="00F867B7" w:rsidRPr="00E0176E">
          <w:rPr>
            <w:rStyle w:val="Hyperlink"/>
            <w:b/>
            <w:bCs/>
          </w:rPr>
          <w:t xml:space="preserve"> 1</w:t>
        </w:r>
        <w:r w:rsidR="00B713DF" w:rsidRPr="00E0176E">
          <w:rPr>
            <w:rStyle w:val="Hyperlink"/>
            <w:b/>
            <w:bCs/>
          </w:rPr>
          <w:t>4</w:t>
        </w:r>
      </w:hyperlink>
      <w:r w:rsidR="00F867B7" w:rsidRPr="00F867B7">
        <w:rPr>
          <w:rFonts w:ascii="Calibri" w:hAnsi="Calibri" w:cs="Calibri"/>
          <w:b/>
          <w:bCs/>
        </w:rPr>
        <w:t xml:space="preserve"> </w:t>
      </w:r>
      <w:r w:rsidR="00C33E74">
        <w:rPr>
          <w:rFonts w:ascii="Calibri" w:hAnsi="Calibri" w:cs="Calibri"/>
          <w:b/>
          <w:bCs/>
          <w:lang w:val="en-US"/>
        </w:rPr>
        <w:t xml:space="preserve">for Bankruptcies and </w:t>
      </w:r>
      <w:hyperlink r:id="rId26" w:history="1">
        <w:r w:rsidR="00C33E74" w:rsidRPr="00E0176E">
          <w:rPr>
            <w:rStyle w:val="Hyperlink"/>
            <w:rFonts w:ascii="Calibri" w:hAnsi="Calibri" w:cs="Calibri"/>
            <w:b/>
            <w:bCs/>
            <w:lang w:val="en-US"/>
          </w:rPr>
          <w:t xml:space="preserve">Attachment </w:t>
        </w:r>
        <w:r w:rsidR="00F867B7" w:rsidRPr="00E0176E">
          <w:rPr>
            <w:rStyle w:val="Hyperlink"/>
            <w:b/>
            <w:bCs/>
          </w:rPr>
          <w:t>1</w:t>
        </w:r>
        <w:r w:rsidR="00B713DF" w:rsidRPr="00E0176E">
          <w:rPr>
            <w:rStyle w:val="Hyperlink"/>
            <w:b/>
            <w:bCs/>
          </w:rPr>
          <w:t>5</w:t>
        </w:r>
      </w:hyperlink>
      <w:r w:rsidR="00C33E74">
        <w:rPr>
          <w:b/>
          <w:bCs/>
          <w:lang w:val="en-US"/>
        </w:rPr>
        <w:t xml:space="preserve"> for Companies under Liquidation</w:t>
      </w:r>
      <w:r w:rsidR="00F867B7" w:rsidRPr="00F867B7">
        <w:rPr>
          <w:rFonts w:ascii="Calibri" w:hAnsi="Calibri" w:cs="Calibri"/>
          <w:b/>
          <w:bCs/>
        </w:rPr>
        <w:t>)</w:t>
      </w:r>
    </w:p>
    <w:p w:rsidR="00BA67D1" w:rsidRDefault="00BA67D1" w:rsidP="00D534B2">
      <w:pPr>
        <w:tabs>
          <w:tab w:val="left" w:pos="0"/>
        </w:tabs>
        <w:ind w:left="-450"/>
        <w:jc w:val="both"/>
        <w:rPr>
          <w:rFonts w:ascii="Calibri" w:hAnsi="Calibri" w:cs="Calibri"/>
        </w:rPr>
      </w:pPr>
    </w:p>
    <w:sectPr w:rsidR="00BA67D1" w:rsidSect="00E22A42">
      <w:footerReference w:type="default" r:id="rId27"/>
      <w:pgSz w:w="11906" w:h="16838"/>
      <w:pgMar w:top="568" w:right="1016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FCE" w:rsidRDefault="00FC5FCE" w:rsidP="00B22FF2">
      <w:r>
        <w:separator/>
      </w:r>
    </w:p>
  </w:endnote>
  <w:endnote w:type="continuationSeparator" w:id="0">
    <w:p w:rsidR="00FC5FCE" w:rsidRDefault="00FC5FCE" w:rsidP="00B2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475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A42" w:rsidRDefault="00E22A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A42" w:rsidRDefault="00E22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FCE" w:rsidRDefault="00FC5FCE" w:rsidP="00B22FF2">
      <w:r>
        <w:separator/>
      </w:r>
    </w:p>
  </w:footnote>
  <w:footnote w:type="continuationSeparator" w:id="0">
    <w:p w:rsidR="00FC5FCE" w:rsidRDefault="00FC5FCE" w:rsidP="00B2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FC1"/>
    <w:multiLevelType w:val="hybridMultilevel"/>
    <w:tmpl w:val="2E14FFDC"/>
    <w:lvl w:ilvl="0" w:tplc="2000001B">
      <w:start w:val="1"/>
      <w:numFmt w:val="lowerRoman"/>
      <w:lvlText w:val="%1."/>
      <w:lvlJc w:val="right"/>
      <w:pPr>
        <w:ind w:left="-90" w:hanging="360"/>
      </w:pPr>
    </w:lvl>
    <w:lvl w:ilvl="1" w:tplc="20000019">
      <w:start w:val="1"/>
      <w:numFmt w:val="lowerLetter"/>
      <w:lvlText w:val="%2."/>
      <w:lvlJc w:val="left"/>
      <w:pPr>
        <w:ind w:left="630" w:hanging="360"/>
      </w:pPr>
    </w:lvl>
    <w:lvl w:ilvl="2" w:tplc="2000001B" w:tentative="1">
      <w:start w:val="1"/>
      <w:numFmt w:val="lowerRoman"/>
      <w:lvlText w:val="%3."/>
      <w:lvlJc w:val="right"/>
      <w:pPr>
        <w:ind w:left="1350" w:hanging="180"/>
      </w:pPr>
    </w:lvl>
    <w:lvl w:ilvl="3" w:tplc="2000000F" w:tentative="1">
      <w:start w:val="1"/>
      <w:numFmt w:val="decimal"/>
      <w:lvlText w:val="%4."/>
      <w:lvlJc w:val="left"/>
      <w:pPr>
        <w:ind w:left="2070" w:hanging="360"/>
      </w:pPr>
    </w:lvl>
    <w:lvl w:ilvl="4" w:tplc="20000019" w:tentative="1">
      <w:start w:val="1"/>
      <w:numFmt w:val="lowerLetter"/>
      <w:lvlText w:val="%5."/>
      <w:lvlJc w:val="left"/>
      <w:pPr>
        <w:ind w:left="2790" w:hanging="360"/>
      </w:pPr>
    </w:lvl>
    <w:lvl w:ilvl="5" w:tplc="2000001B" w:tentative="1">
      <w:start w:val="1"/>
      <w:numFmt w:val="lowerRoman"/>
      <w:lvlText w:val="%6."/>
      <w:lvlJc w:val="right"/>
      <w:pPr>
        <w:ind w:left="3510" w:hanging="180"/>
      </w:pPr>
    </w:lvl>
    <w:lvl w:ilvl="6" w:tplc="2000000F" w:tentative="1">
      <w:start w:val="1"/>
      <w:numFmt w:val="decimal"/>
      <w:lvlText w:val="%7."/>
      <w:lvlJc w:val="left"/>
      <w:pPr>
        <w:ind w:left="4230" w:hanging="360"/>
      </w:pPr>
    </w:lvl>
    <w:lvl w:ilvl="7" w:tplc="20000019" w:tentative="1">
      <w:start w:val="1"/>
      <w:numFmt w:val="lowerLetter"/>
      <w:lvlText w:val="%8."/>
      <w:lvlJc w:val="left"/>
      <w:pPr>
        <w:ind w:left="4950" w:hanging="360"/>
      </w:pPr>
    </w:lvl>
    <w:lvl w:ilvl="8" w:tplc="2000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DF81CB4"/>
    <w:multiLevelType w:val="hybridMultilevel"/>
    <w:tmpl w:val="47001E86"/>
    <w:lvl w:ilvl="0" w:tplc="F78E954E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6" w:hanging="360"/>
      </w:pPr>
    </w:lvl>
    <w:lvl w:ilvl="2" w:tplc="0408001B" w:tentative="1">
      <w:start w:val="1"/>
      <w:numFmt w:val="lowerRoman"/>
      <w:lvlText w:val="%3."/>
      <w:lvlJc w:val="right"/>
      <w:pPr>
        <w:ind w:left="2526" w:hanging="180"/>
      </w:pPr>
    </w:lvl>
    <w:lvl w:ilvl="3" w:tplc="0408000F" w:tentative="1">
      <w:start w:val="1"/>
      <w:numFmt w:val="decimal"/>
      <w:lvlText w:val="%4."/>
      <w:lvlJc w:val="left"/>
      <w:pPr>
        <w:ind w:left="3246" w:hanging="360"/>
      </w:pPr>
    </w:lvl>
    <w:lvl w:ilvl="4" w:tplc="04080019" w:tentative="1">
      <w:start w:val="1"/>
      <w:numFmt w:val="lowerLetter"/>
      <w:lvlText w:val="%5."/>
      <w:lvlJc w:val="left"/>
      <w:pPr>
        <w:ind w:left="3966" w:hanging="360"/>
      </w:pPr>
    </w:lvl>
    <w:lvl w:ilvl="5" w:tplc="0408001B" w:tentative="1">
      <w:start w:val="1"/>
      <w:numFmt w:val="lowerRoman"/>
      <w:lvlText w:val="%6."/>
      <w:lvlJc w:val="right"/>
      <w:pPr>
        <w:ind w:left="4686" w:hanging="180"/>
      </w:pPr>
    </w:lvl>
    <w:lvl w:ilvl="6" w:tplc="0408000F" w:tentative="1">
      <w:start w:val="1"/>
      <w:numFmt w:val="decimal"/>
      <w:lvlText w:val="%7."/>
      <w:lvlJc w:val="left"/>
      <w:pPr>
        <w:ind w:left="5406" w:hanging="360"/>
      </w:pPr>
    </w:lvl>
    <w:lvl w:ilvl="7" w:tplc="04080019" w:tentative="1">
      <w:start w:val="1"/>
      <w:numFmt w:val="lowerLetter"/>
      <w:lvlText w:val="%8."/>
      <w:lvlJc w:val="left"/>
      <w:pPr>
        <w:ind w:left="6126" w:hanging="360"/>
      </w:pPr>
    </w:lvl>
    <w:lvl w:ilvl="8" w:tplc="0408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134B454F"/>
    <w:multiLevelType w:val="hybridMultilevel"/>
    <w:tmpl w:val="C2F27308"/>
    <w:lvl w:ilvl="0" w:tplc="E5F6B4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31EBA"/>
    <w:multiLevelType w:val="hybridMultilevel"/>
    <w:tmpl w:val="F9E42FB2"/>
    <w:lvl w:ilvl="0" w:tplc="3AECCB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262D1C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834E6F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1673A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24CAC1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F206AC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B8D6E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B075F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BE6CC6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D4EF3"/>
    <w:multiLevelType w:val="hybridMultilevel"/>
    <w:tmpl w:val="FF2A9D1A"/>
    <w:lvl w:ilvl="0" w:tplc="20000011">
      <w:start w:val="1"/>
      <w:numFmt w:val="decimal"/>
      <w:lvlText w:val="%1)"/>
      <w:lvlJc w:val="left"/>
      <w:pPr>
        <w:ind w:left="1350" w:hanging="360"/>
      </w:pPr>
    </w:lvl>
    <w:lvl w:ilvl="1" w:tplc="20000019" w:tentative="1">
      <w:start w:val="1"/>
      <w:numFmt w:val="lowerLetter"/>
      <w:lvlText w:val="%2."/>
      <w:lvlJc w:val="left"/>
      <w:pPr>
        <w:ind w:left="2070" w:hanging="360"/>
      </w:pPr>
    </w:lvl>
    <w:lvl w:ilvl="2" w:tplc="2000001B" w:tentative="1">
      <w:start w:val="1"/>
      <w:numFmt w:val="lowerRoman"/>
      <w:lvlText w:val="%3."/>
      <w:lvlJc w:val="right"/>
      <w:pPr>
        <w:ind w:left="2790" w:hanging="180"/>
      </w:pPr>
    </w:lvl>
    <w:lvl w:ilvl="3" w:tplc="2000000F" w:tentative="1">
      <w:start w:val="1"/>
      <w:numFmt w:val="decimal"/>
      <w:lvlText w:val="%4."/>
      <w:lvlJc w:val="left"/>
      <w:pPr>
        <w:ind w:left="3510" w:hanging="360"/>
      </w:pPr>
    </w:lvl>
    <w:lvl w:ilvl="4" w:tplc="20000019">
      <w:start w:val="1"/>
      <w:numFmt w:val="lowerLetter"/>
      <w:lvlText w:val="%5."/>
      <w:lvlJc w:val="left"/>
      <w:pPr>
        <w:ind w:left="4230" w:hanging="360"/>
      </w:pPr>
    </w:lvl>
    <w:lvl w:ilvl="5" w:tplc="2000001B" w:tentative="1">
      <w:start w:val="1"/>
      <w:numFmt w:val="lowerRoman"/>
      <w:lvlText w:val="%6."/>
      <w:lvlJc w:val="right"/>
      <w:pPr>
        <w:ind w:left="4950" w:hanging="180"/>
      </w:pPr>
    </w:lvl>
    <w:lvl w:ilvl="6" w:tplc="2000000F" w:tentative="1">
      <w:start w:val="1"/>
      <w:numFmt w:val="decimal"/>
      <w:lvlText w:val="%7."/>
      <w:lvlJc w:val="left"/>
      <w:pPr>
        <w:ind w:left="5670" w:hanging="360"/>
      </w:pPr>
    </w:lvl>
    <w:lvl w:ilvl="7" w:tplc="20000019" w:tentative="1">
      <w:start w:val="1"/>
      <w:numFmt w:val="lowerLetter"/>
      <w:lvlText w:val="%8."/>
      <w:lvlJc w:val="left"/>
      <w:pPr>
        <w:ind w:left="6390" w:hanging="360"/>
      </w:pPr>
    </w:lvl>
    <w:lvl w:ilvl="8" w:tplc="200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9D62A96"/>
    <w:multiLevelType w:val="hybridMultilevel"/>
    <w:tmpl w:val="D35AA4D0"/>
    <w:lvl w:ilvl="0" w:tplc="5406EB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286580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4E04E6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DA492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46C6D8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662CAC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91089D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6D4D12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C6A958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7B4A3F"/>
    <w:multiLevelType w:val="hybridMultilevel"/>
    <w:tmpl w:val="F9664210"/>
    <w:lvl w:ilvl="0" w:tplc="200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311325">
    <w:abstractNumId w:val="6"/>
  </w:num>
  <w:num w:numId="2" w16cid:durableId="1049916701">
    <w:abstractNumId w:val="3"/>
  </w:num>
  <w:num w:numId="3" w16cid:durableId="1956400746">
    <w:abstractNumId w:val="5"/>
  </w:num>
  <w:num w:numId="4" w16cid:durableId="2088845063">
    <w:abstractNumId w:val="2"/>
  </w:num>
  <w:num w:numId="5" w16cid:durableId="1106578560">
    <w:abstractNumId w:val="1"/>
  </w:num>
  <w:num w:numId="6" w16cid:durableId="1868061659">
    <w:abstractNumId w:val="4"/>
  </w:num>
  <w:num w:numId="7" w16cid:durableId="141790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D0"/>
    <w:rsid w:val="00004A2F"/>
    <w:rsid w:val="00006650"/>
    <w:rsid w:val="00015052"/>
    <w:rsid w:val="00016C98"/>
    <w:rsid w:val="00017396"/>
    <w:rsid w:val="000211E5"/>
    <w:rsid w:val="00021392"/>
    <w:rsid w:val="000227D6"/>
    <w:rsid w:val="00022C47"/>
    <w:rsid w:val="0002450F"/>
    <w:rsid w:val="000363D7"/>
    <w:rsid w:val="00053B9B"/>
    <w:rsid w:val="000541E1"/>
    <w:rsid w:val="00060BCE"/>
    <w:rsid w:val="00074FF6"/>
    <w:rsid w:val="00093820"/>
    <w:rsid w:val="00097086"/>
    <w:rsid w:val="000A420A"/>
    <w:rsid w:val="000B37F1"/>
    <w:rsid w:val="000B7E87"/>
    <w:rsid w:val="000C22D9"/>
    <w:rsid w:val="000D609A"/>
    <w:rsid w:val="000E32CA"/>
    <w:rsid w:val="000E6FD9"/>
    <w:rsid w:val="000F0137"/>
    <w:rsid w:val="0010049B"/>
    <w:rsid w:val="00106B47"/>
    <w:rsid w:val="00111636"/>
    <w:rsid w:val="00113A90"/>
    <w:rsid w:val="00123835"/>
    <w:rsid w:val="0012666A"/>
    <w:rsid w:val="00134CA2"/>
    <w:rsid w:val="00152745"/>
    <w:rsid w:val="001613F8"/>
    <w:rsid w:val="0016200C"/>
    <w:rsid w:val="00162879"/>
    <w:rsid w:val="00166164"/>
    <w:rsid w:val="00167FB3"/>
    <w:rsid w:val="00177887"/>
    <w:rsid w:val="001A5EA4"/>
    <w:rsid w:val="001B4A7C"/>
    <w:rsid w:val="001C4056"/>
    <w:rsid w:val="001D1B0D"/>
    <w:rsid w:val="001D76A6"/>
    <w:rsid w:val="001E083E"/>
    <w:rsid w:val="0020652F"/>
    <w:rsid w:val="0021518D"/>
    <w:rsid w:val="00221EA5"/>
    <w:rsid w:val="00230288"/>
    <w:rsid w:val="00234E64"/>
    <w:rsid w:val="00235045"/>
    <w:rsid w:val="00237344"/>
    <w:rsid w:val="00242F9C"/>
    <w:rsid w:val="00257A9B"/>
    <w:rsid w:val="00265A74"/>
    <w:rsid w:val="002703A1"/>
    <w:rsid w:val="00270B52"/>
    <w:rsid w:val="00282774"/>
    <w:rsid w:val="00290068"/>
    <w:rsid w:val="00290B11"/>
    <w:rsid w:val="0029539A"/>
    <w:rsid w:val="002A16E7"/>
    <w:rsid w:val="002B451B"/>
    <w:rsid w:val="002B62ED"/>
    <w:rsid w:val="002C4C2D"/>
    <w:rsid w:val="002F1CB8"/>
    <w:rsid w:val="00305395"/>
    <w:rsid w:val="00323C04"/>
    <w:rsid w:val="00333092"/>
    <w:rsid w:val="00345204"/>
    <w:rsid w:val="003528A0"/>
    <w:rsid w:val="00352A33"/>
    <w:rsid w:val="00360A40"/>
    <w:rsid w:val="003641C1"/>
    <w:rsid w:val="003710A8"/>
    <w:rsid w:val="00375C56"/>
    <w:rsid w:val="00381197"/>
    <w:rsid w:val="00384777"/>
    <w:rsid w:val="003850FC"/>
    <w:rsid w:val="003A7B2C"/>
    <w:rsid w:val="003B4C2D"/>
    <w:rsid w:val="003B55DE"/>
    <w:rsid w:val="003D592C"/>
    <w:rsid w:val="003E001A"/>
    <w:rsid w:val="003E69EA"/>
    <w:rsid w:val="003F3D79"/>
    <w:rsid w:val="00407A62"/>
    <w:rsid w:val="00411ACA"/>
    <w:rsid w:val="00411FC6"/>
    <w:rsid w:val="00412C9D"/>
    <w:rsid w:val="0043318F"/>
    <w:rsid w:val="00435948"/>
    <w:rsid w:val="004368B5"/>
    <w:rsid w:val="00440221"/>
    <w:rsid w:val="00441DD2"/>
    <w:rsid w:val="00455437"/>
    <w:rsid w:val="004628C0"/>
    <w:rsid w:val="00477524"/>
    <w:rsid w:val="00482DB6"/>
    <w:rsid w:val="00496026"/>
    <w:rsid w:val="004A06FC"/>
    <w:rsid w:val="004A3757"/>
    <w:rsid w:val="004B3BC0"/>
    <w:rsid w:val="004B6035"/>
    <w:rsid w:val="004B6266"/>
    <w:rsid w:val="004C1147"/>
    <w:rsid w:val="004C2909"/>
    <w:rsid w:val="004C7B29"/>
    <w:rsid w:val="004E5E9E"/>
    <w:rsid w:val="004E6074"/>
    <w:rsid w:val="004E6105"/>
    <w:rsid w:val="004F2C52"/>
    <w:rsid w:val="004F5D71"/>
    <w:rsid w:val="004F5E0F"/>
    <w:rsid w:val="00507BD8"/>
    <w:rsid w:val="00524206"/>
    <w:rsid w:val="005321C5"/>
    <w:rsid w:val="00544967"/>
    <w:rsid w:val="00557C2A"/>
    <w:rsid w:val="00563A1B"/>
    <w:rsid w:val="00580118"/>
    <w:rsid w:val="0058023C"/>
    <w:rsid w:val="0058332E"/>
    <w:rsid w:val="005856F9"/>
    <w:rsid w:val="005867AE"/>
    <w:rsid w:val="005901B8"/>
    <w:rsid w:val="005936DD"/>
    <w:rsid w:val="005A4B06"/>
    <w:rsid w:val="005D1468"/>
    <w:rsid w:val="005D3520"/>
    <w:rsid w:val="005D780B"/>
    <w:rsid w:val="005E0973"/>
    <w:rsid w:val="005E1452"/>
    <w:rsid w:val="005E29FA"/>
    <w:rsid w:val="005F1C67"/>
    <w:rsid w:val="005F2063"/>
    <w:rsid w:val="005F6D73"/>
    <w:rsid w:val="005F7C08"/>
    <w:rsid w:val="00600BF9"/>
    <w:rsid w:val="00604146"/>
    <w:rsid w:val="00620E4C"/>
    <w:rsid w:val="006344A2"/>
    <w:rsid w:val="00634E15"/>
    <w:rsid w:val="0063775D"/>
    <w:rsid w:val="006449DD"/>
    <w:rsid w:val="0065621F"/>
    <w:rsid w:val="00657FC2"/>
    <w:rsid w:val="00671366"/>
    <w:rsid w:val="00673637"/>
    <w:rsid w:val="00681732"/>
    <w:rsid w:val="00690BB9"/>
    <w:rsid w:val="00692074"/>
    <w:rsid w:val="006A7AEE"/>
    <w:rsid w:val="006B0D99"/>
    <w:rsid w:val="006B0E46"/>
    <w:rsid w:val="006B3293"/>
    <w:rsid w:val="006C578F"/>
    <w:rsid w:val="006C7CCB"/>
    <w:rsid w:val="006E16D0"/>
    <w:rsid w:val="006E5D93"/>
    <w:rsid w:val="006F461E"/>
    <w:rsid w:val="00700A9C"/>
    <w:rsid w:val="007046BC"/>
    <w:rsid w:val="0071021F"/>
    <w:rsid w:val="00713A8B"/>
    <w:rsid w:val="00717F91"/>
    <w:rsid w:val="00726851"/>
    <w:rsid w:val="00732B7A"/>
    <w:rsid w:val="007367FD"/>
    <w:rsid w:val="0074052C"/>
    <w:rsid w:val="0074714F"/>
    <w:rsid w:val="00757A96"/>
    <w:rsid w:val="00762F1F"/>
    <w:rsid w:val="00767F44"/>
    <w:rsid w:val="00772302"/>
    <w:rsid w:val="00772419"/>
    <w:rsid w:val="00783872"/>
    <w:rsid w:val="007939D9"/>
    <w:rsid w:val="007A0995"/>
    <w:rsid w:val="007A2A30"/>
    <w:rsid w:val="007B5C14"/>
    <w:rsid w:val="007B7D11"/>
    <w:rsid w:val="007C5B26"/>
    <w:rsid w:val="007C65AB"/>
    <w:rsid w:val="007D22E9"/>
    <w:rsid w:val="00800298"/>
    <w:rsid w:val="0080033C"/>
    <w:rsid w:val="00801C04"/>
    <w:rsid w:val="00810AC8"/>
    <w:rsid w:val="00811909"/>
    <w:rsid w:val="00817CC3"/>
    <w:rsid w:val="00823A28"/>
    <w:rsid w:val="00824F5C"/>
    <w:rsid w:val="00827FFC"/>
    <w:rsid w:val="00841E97"/>
    <w:rsid w:val="0084446F"/>
    <w:rsid w:val="0085104B"/>
    <w:rsid w:val="0089241A"/>
    <w:rsid w:val="008A50D0"/>
    <w:rsid w:val="008C6700"/>
    <w:rsid w:val="008E16F3"/>
    <w:rsid w:val="008F07B2"/>
    <w:rsid w:val="00904E9E"/>
    <w:rsid w:val="00911B89"/>
    <w:rsid w:val="00921629"/>
    <w:rsid w:val="009246AF"/>
    <w:rsid w:val="009261CE"/>
    <w:rsid w:val="0093131A"/>
    <w:rsid w:val="00943435"/>
    <w:rsid w:val="009517A1"/>
    <w:rsid w:val="00952E72"/>
    <w:rsid w:val="00957A97"/>
    <w:rsid w:val="009610F6"/>
    <w:rsid w:val="00966D0C"/>
    <w:rsid w:val="009735CD"/>
    <w:rsid w:val="00982251"/>
    <w:rsid w:val="00982F70"/>
    <w:rsid w:val="009906B5"/>
    <w:rsid w:val="009B21E9"/>
    <w:rsid w:val="009B7D50"/>
    <w:rsid w:val="009D5ED9"/>
    <w:rsid w:val="009D67EE"/>
    <w:rsid w:val="009E50D3"/>
    <w:rsid w:val="009E56B6"/>
    <w:rsid w:val="009F272F"/>
    <w:rsid w:val="009F5742"/>
    <w:rsid w:val="00A01BF5"/>
    <w:rsid w:val="00A02CA7"/>
    <w:rsid w:val="00A05DCB"/>
    <w:rsid w:val="00A07806"/>
    <w:rsid w:val="00A26048"/>
    <w:rsid w:val="00A44898"/>
    <w:rsid w:val="00A531FA"/>
    <w:rsid w:val="00A53E2C"/>
    <w:rsid w:val="00A54E58"/>
    <w:rsid w:val="00A55AF5"/>
    <w:rsid w:val="00A668BB"/>
    <w:rsid w:val="00A91FBD"/>
    <w:rsid w:val="00A94BB2"/>
    <w:rsid w:val="00AA4637"/>
    <w:rsid w:val="00AA5A6C"/>
    <w:rsid w:val="00AA7A10"/>
    <w:rsid w:val="00AB0DC9"/>
    <w:rsid w:val="00AB5FDF"/>
    <w:rsid w:val="00AC2086"/>
    <w:rsid w:val="00AD4289"/>
    <w:rsid w:val="00AE7079"/>
    <w:rsid w:val="00AE77EF"/>
    <w:rsid w:val="00AF0EE7"/>
    <w:rsid w:val="00AF1048"/>
    <w:rsid w:val="00AF1523"/>
    <w:rsid w:val="00AF49FB"/>
    <w:rsid w:val="00B01A61"/>
    <w:rsid w:val="00B028A7"/>
    <w:rsid w:val="00B078FE"/>
    <w:rsid w:val="00B1305C"/>
    <w:rsid w:val="00B22FF2"/>
    <w:rsid w:val="00B27D8C"/>
    <w:rsid w:val="00B30435"/>
    <w:rsid w:val="00B32D3B"/>
    <w:rsid w:val="00B346B3"/>
    <w:rsid w:val="00B3520D"/>
    <w:rsid w:val="00B3714B"/>
    <w:rsid w:val="00B415C4"/>
    <w:rsid w:val="00B46F96"/>
    <w:rsid w:val="00B6058E"/>
    <w:rsid w:val="00B605EA"/>
    <w:rsid w:val="00B60998"/>
    <w:rsid w:val="00B713DF"/>
    <w:rsid w:val="00B71BE1"/>
    <w:rsid w:val="00B76D75"/>
    <w:rsid w:val="00B8455A"/>
    <w:rsid w:val="00B86F04"/>
    <w:rsid w:val="00B93D88"/>
    <w:rsid w:val="00B9505A"/>
    <w:rsid w:val="00B9596A"/>
    <w:rsid w:val="00BA1298"/>
    <w:rsid w:val="00BA4429"/>
    <w:rsid w:val="00BA67D1"/>
    <w:rsid w:val="00BC50D9"/>
    <w:rsid w:val="00BE45BE"/>
    <w:rsid w:val="00BE4CDD"/>
    <w:rsid w:val="00BF622B"/>
    <w:rsid w:val="00C316AE"/>
    <w:rsid w:val="00C33E74"/>
    <w:rsid w:val="00C44159"/>
    <w:rsid w:val="00C514DA"/>
    <w:rsid w:val="00C5620D"/>
    <w:rsid w:val="00C63AEB"/>
    <w:rsid w:val="00C64B3C"/>
    <w:rsid w:val="00C75B35"/>
    <w:rsid w:val="00C81E52"/>
    <w:rsid w:val="00CA2613"/>
    <w:rsid w:val="00CA7956"/>
    <w:rsid w:val="00CC73BA"/>
    <w:rsid w:val="00CD4788"/>
    <w:rsid w:val="00CE00EF"/>
    <w:rsid w:val="00D06081"/>
    <w:rsid w:val="00D063A2"/>
    <w:rsid w:val="00D07535"/>
    <w:rsid w:val="00D151E1"/>
    <w:rsid w:val="00D308B5"/>
    <w:rsid w:val="00D33777"/>
    <w:rsid w:val="00D42966"/>
    <w:rsid w:val="00D434D9"/>
    <w:rsid w:val="00D477B9"/>
    <w:rsid w:val="00D51073"/>
    <w:rsid w:val="00D532DF"/>
    <w:rsid w:val="00D534B2"/>
    <w:rsid w:val="00D5456B"/>
    <w:rsid w:val="00D60A7E"/>
    <w:rsid w:val="00D63BF9"/>
    <w:rsid w:val="00D66DFF"/>
    <w:rsid w:val="00D7148D"/>
    <w:rsid w:val="00D71909"/>
    <w:rsid w:val="00D81466"/>
    <w:rsid w:val="00D84148"/>
    <w:rsid w:val="00D904D7"/>
    <w:rsid w:val="00DA39EE"/>
    <w:rsid w:val="00DB0F5E"/>
    <w:rsid w:val="00DC129A"/>
    <w:rsid w:val="00DC3DCA"/>
    <w:rsid w:val="00DD2F01"/>
    <w:rsid w:val="00DD6B2F"/>
    <w:rsid w:val="00DE1331"/>
    <w:rsid w:val="00DE44EA"/>
    <w:rsid w:val="00DE62AF"/>
    <w:rsid w:val="00DF1639"/>
    <w:rsid w:val="00DF30A6"/>
    <w:rsid w:val="00DF65A2"/>
    <w:rsid w:val="00E00B18"/>
    <w:rsid w:val="00E0176E"/>
    <w:rsid w:val="00E0481B"/>
    <w:rsid w:val="00E114DB"/>
    <w:rsid w:val="00E120CE"/>
    <w:rsid w:val="00E22A42"/>
    <w:rsid w:val="00E31FBB"/>
    <w:rsid w:val="00E35E7D"/>
    <w:rsid w:val="00E36B81"/>
    <w:rsid w:val="00E47E28"/>
    <w:rsid w:val="00E5005F"/>
    <w:rsid w:val="00E55E89"/>
    <w:rsid w:val="00E61580"/>
    <w:rsid w:val="00E901AA"/>
    <w:rsid w:val="00E91977"/>
    <w:rsid w:val="00EA0356"/>
    <w:rsid w:val="00EC4E7E"/>
    <w:rsid w:val="00ED3B57"/>
    <w:rsid w:val="00EE3805"/>
    <w:rsid w:val="00EF5BEE"/>
    <w:rsid w:val="00EF646A"/>
    <w:rsid w:val="00F01EF8"/>
    <w:rsid w:val="00F07B98"/>
    <w:rsid w:val="00F23E50"/>
    <w:rsid w:val="00F34BAA"/>
    <w:rsid w:val="00F37BC2"/>
    <w:rsid w:val="00F45097"/>
    <w:rsid w:val="00F64B49"/>
    <w:rsid w:val="00F65192"/>
    <w:rsid w:val="00F7286C"/>
    <w:rsid w:val="00F72F2D"/>
    <w:rsid w:val="00F84EA9"/>
    <w:rsid w:val="00F85B6A"/>
    <w:rsid w:val="00F867B7"/>
    <w:rsid w:val="00F87B0F"/>
    <w:rsid w:val="00F918E3"/>
    <w:rsid w:val="00F92F9C"/>
    <w:rsid w:val="00F95690"/>
    <w:rsid w:val="00FA153A"/>
    <w:rsid w:val="00FA47B9"/>
    <w:rsid w:val="00FA4965"/>
    <w:rsid w:val="00FA78BD"/>
    <w:rsid w:val="00FB0636"/>
    <w:rsid w:val="00FB50E9"/>
    <w:rsid w:val="00FC5FCE"/>
    <w:rsid w:val="00FD051D"/>
    <w:rsid w:val="00FD1126"/>
    <w:rsid w:val="00FE42FC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F9E7D7-4358-4806-B346-2531C130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A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2FF2"/>
    <w:pPr>
      <w:ind w:left="720"/>
    </w:pPr>
  </w:style>
  <w:style w:type="paragraph" w:styleId="Header">
    <w:name w:val="header"/>
    <w:basedOn w:val="Normal"/>
    <w:link w:val="HeaderChar"/>
    <w:uiPriority w:val="99"/>
    <w:rsid w:val="00B22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FF2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B22F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FF2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B34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B3"/>
    <w:rPr>
      <w:rFonts w:ascii="Tahoma" w:hAnsi="Tahoma" w:cs="Tahoma"/>
      <w:sz w:val="16"/>
      <w:szCs w:val="16"/>
      <w:lang w:val="el-GR" w:eastAsia="el-GR"/>
    </w:rPr>
  </w:style>
  <w:style w:type="character" w:customStyle="1" w:styleId="MessageHeaderLabel">
    <w:name w:val="Message Header Label"/>
    <w:uiPriority w:val="99"/>
    <w:rsid w:val="00FD051D"/>
    <w:rPr>
      <w:rFonts w:ascii="Arial Black" w:hAnsi="Arial Black" w:cs="Arial Black"/>
      <w:spacing w:val="-10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FD051D"/>
    <w:pPr>
      <w:spacing w:line="360" w:lineRule="auto"/>
      <w:ind w:left="720"/>
      <w:jc w:val="center"/>
    </w:pPr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D051D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character" w:styleId="Hyperlink">
    <w:name w:val="Hyperlink"/>
    <w:basedOn w:val="DefaultParagraphFont"/>
    <w:uiPriority w:val="99"/>
    <w:rsid w:val="00FD051D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FD051D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rsid w:val="00FD051D"/>
    <w:rPr>
      <w:rFonts w:ascii="Calibri" w:hAnsi="Calibri" w:cs="Calibri"/>
      <w:sz w:val="22"/>
      <w:szCs w:val="22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8A50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B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2A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22A42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22A4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22A42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22A4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eci.gov.cy/MECI/insolvency.nsf/All/BA843E5C40B3B0A0C2258998003B9D43/$file/ATT%202%20LETTER%20CRED%20NOT%20VER%20DEBT.docx" TargetMode="External"/><Relationship Id="rId18" Type="http://schemas.openxmlformats.org/officeDocument/2006/relationships/hyperlink" Target="http://www.meci.gov.cy/MECI/insolvency.nsf/All/BA843E5C40B3B0A0C2258998003B9D43/$file/ATT%207%20PUBL%20OF%20INTENTION%20PAY%20DIV.doc" TargetMode="External"/><Relationship Id="rId26" Type="http://schemas.openxmlformats.org/officeDocument/2006/relationships/hyperlink" Target="http://www.meci.gov.cy/MECI/insolvency.nsf/All/BA843E5C40B3B0A0C2258998003B9D43/$file/ATT%2015%20LIQUIDATIONS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ci.gov.cy/MECI/insolvency.nsf/All/BA843E5C40B3B0A0C2258998003B9D43/$file/ATT%2010%20LIST%20A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ci.gov.cy/MECI/insolvency.nsf/All/BA843E5C40B3B0A0C2258998003B9D43/$file/ATT%201%20LETTER%20TO%20BANKRUPT.docx" TargetMode="External"/><Relationship Id="rId17" Type="http://schemas.openxmlformats.org/officeDocument/2006/relationships/hyperlink" Target="http://www.meci.gov.cy/MECI/insolvency.nsf/All/BA843E5C40B3B0A0C2258998003B9D43/$file/ATT%206%20LETTER%20TO%20APPLICANT%20CRED.docx" TargetMode="External"/><Relationship Id="rId25" Type="http://schemas.openxmlformats.org/officeDocument/2006/relationships/hyperlink" Target="http://www.meci.gov.cy/MECI/insolvency.nsf/All/BA843E5C40B3B0A0C2258998003B9D43/$file/ATT%2014%20BANKRUPTCIES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ci.gov.cy/MECI/insolvency.nsf/All/BA843E5C40B3B0A0C2258998003B9D43/$file/ATT%205%20LETTER%20CRED%20VER%20DEBT.docx" TargetMode="External"/><Relationship Id="rId20" Type="http://schemas.openxmlformats.org/officeDocument/2006/relationships/hyperlink" Target="http://www.meci.gov.cy/MECI/insolvency.nsf/All/BA843E5C40B3B0A0C2258998003B9D43/$file/ATT%209%20REJECTION%20PROOF%20OR%20PART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olvency.gov.cy" TargetMode="External"/><Relationship Id="rId24" Type="http://schemas.openxmlformats.org/officeDocument/2006/relationships/hyperlink" Target="http://www.meci.gov.cy/MECI/insolvency.nsf/All/BA843E5C40B3B0A0C2258998003B9D43/$file/ATT%2013%20LETTER%20CRED%20AMOUNT%20PERC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ci.gov.cy/MECI/insolvency.nsf/All/BA843E5C40B3B0A0C2258998003B9D43/$file/ATT%204%20Creditors%20proof%20of%20dept%20form.docx" TargetMode="External"/><Relationship Id="rId23" Type="http://schemas.openxmlformats.org/officeDocument/2006/relationships/hyperlink" Target="http://www.meci.gov.cy/MECI/insolvency.nsf/All/BA843E5C40B3B0A0C2258998003B9D43/$file/ATT%2012%20PAYMENT%20DIVD%20PUBLICATION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insolvency.meci.gov.cy" TargetMode="External"/><Relationship Id="rId19" Type="http://schemas.openxmlformats.org/officeDocument/2006/relationships/hyperlink" Target="http://www.meci.gov.cy/MECI/insolvency.nsf/All/BA843E5C40B3B0A0C2258998003B9D43/$file/ATT%208%20LETTER%20FOR%20APPR%20PROOF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eci.gov.cy/MECI/insolvency.nsf/All/BA843E5C40B3B0A0C2258998003B9D43/$file/ATT%203%20DIRECTIONS%20FOR%20PROOF.docx" TargetMode="External"/><Relationship Id="rId22" Type="http://schemas.openxmlformats.org/officeDocument/2006/relationships/hyperlink" Target="http://www.meci.gov.cy/MECI/insolvency.nsf/All/BA843E5C40B3B0A0C2258998003B9D43/$file/ATT%2011%20STATEMENT%20OF%20ACCOUNT.xls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F59C-D559-4492-9319-DB8B4326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1284</Words>
  <Characters>8681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Πληρωμή Μερίσματος για άτομα</vt:lpstr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Πληρωμή Μερίσματος για άτομα</dc:title>
  <dc:creator>l</dc:creator>
  <cp:lastModifiedBy>Psara Maria</cp:lastModifiedBy>
  <cp:revision>14</cp:revision>
  <cp:lastPrinted>2014-10-13T09:39:00Z</cp:lastPrinted>
  <dcterms:created xsi:type="dcterms:W3CDTF">2023-04-19T06:46:00Z</dcterms:created>
  <dcterms:modified xsi:type="dcterms:W3CDTF">2023-04-21T11:59:00Z</dcterms:modified>
</cp:coreProperties>
</file>